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FF77E7">
        <w:rPr>
          <w:rFonts w:ascii="Palatino Linotype" w:eastAsia="Times New Roman" w:hAnsi="Palatino Linotype" w:cs="Arial"/>
          <w:color w:val="000000"/>
          <w:sz w:val="24"/>
          <w:szCs w:val="24"/>
          <w:lang w:eastAsia="es-MX"/>
        </w:rPr>
        <w:t>a treinta</w:t>
      </w:r>
      <w:r w:rsidR="00D46920">
        <w:rPr>
          <w:rFonts w:ascii="Palatino Linotype" w:eastAsia="Times New Roman" w:hAnsi="Palatino Linotype" w:cs="Arial"/>
          <w:color w:val="000000"/>
          <w:sz w:val="24"/>
          <w:szCs w:val="24"/>
          <w:lang w:eastAsia="es-MX"/>
        </w:rPr>
        <w:t xml:space="preserve"> </w:t>
      </w:r>
      <w:r w:rsidR="00377851" w:rsidRPr="007E4B6C">
        <w:rPr>
          <w:rFonts w:ascii="Palatino Linotype" w:eastAsia="Times New Roman" w:hAnsi="Palatino Linotype" w:cs="Arial"/>
          <w:color w:val="000000"/>
          <w:sz w:val="24"/>
          <w:szCs w:val="24"/>
          <w:lang w:eastAsia="es-MX"/>
        </w:rPr>
        <w:t xml:space="preserve">de </w:t>
      </w:r>
      <w:r w:rsidR="00FF77E7">
        <w:rPr>
          <w:rFonts w:ascii="Palatino Linotype" w:eastAsia="Times New Roman" w:hAnsi="Palatino Linotype" w:cs="Arial"/>
          <w:color w:val="000000"/>
          <w:sz w:val="24"/>
          <w:szCs w:val="24"/>
          <w:lang w:eastAsia="es-MX"/>
        </w:rPr>
        <w:t>enero de dos mil diecinueve</w:t>
      </w:r>
      <w:r w:rsidRPr="00A23894">
        <w:rPr>
          <w:rFonts w:ascii="Palatino Linotype" w:eastAsia="Times New Roman" w:hAnsi="Palatino Linotype" w:cs="Arial"/>
          <w:color w:val="000000"/>
          <w:sz w:val="24"/>
          <w:szCs w:val="24"/>
          <w:lang w:eastAsia="es-MX"/>
        </w:rPr>
        <w:t>.</w:t>
      </w:r>
    </w:p>
    <w:p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FF77E7">
        <w:rPr>
          <w:rFonts w:ascii="Palatino Linotype" w:hAnsi="Palatino Linotype" w:cs="Arial"/>
          <w:b/>
          <w:sz w:val="24"/>
        </w:rPr>
        <w:t>S</w:t>
      </w:r>
      <w:r w:rsidR="00C368B4">
        <w:rPr>
          <w:rFonts w:ascii="Palatino Linotype" w:hAnsi="Palatino Linotype" w:cs="Arial"/>
          <w:sz w:val="24"/>
        </w:rPr>
        <w:t xml:space="preserve"> los expedientes electrónicos formados con motivo de los recursos de revisión números </w:t>
      </w:r>
      <w:r w:rsidR="00226642">
        <w:rPr>
          <w:rFonts w:ascii="Palatino Linotype" w:hAnsi="Palatino Linotype" w:cs="Arial"/>
          <w:b/>
          <w:sz w:val="24"/>
        </w:rPr>
        <w:t>04425/INFOEM/IP/RR/2018 y 04448</w:t>
      </w:r>
      <w:r w:rsidR="00C368B4" w:rsidRPr="00893BDA">
        <w:rPr>
          <w:rFonts w:ascii="Palatino Linotype" w:hAnsi="Palatino Linotype" w:cs="Arial"/>
          <w:b/>
          <w:sz w:val="24"/>
        </w:rPr>
        <w:t>/INFOEM/IP/RR/2018</w:t>
      </w:r>
      <w:r w:rsidR="00FF77E7">
        <w:rPr>
          <w:rFonts w:ascii="Palatino Linotype" w:hAnsi="Palatino Linotype" w:cs="Arial"/>
          <w:sz w:val="24"/>
        </w:rPr>
        <w:t>, interpuestos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840816">
        <w:rPr>
          <w:rFonts w:ascii="Palatino Linotype" w:hAnsi="Palatino Linotype" w:cs="Arial"/>
          <w:b/>
          <w:sz w:val="24"/>
          <w:szCs w:val="24"/>
        </w:rPr>
        <w:t>XXXXXXXXXXXXXXX</w:t>
      </w:r>
      <w:r w:rsidR="00226642">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226642" w:rsidRPr="00226642">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C368B4">
        <w:rPr>
          <w:rFonts w:ascii="Palatino Linotype" w:hAnsi="Palatino Linotype" w:cs="Arial"/>
          <w:sz w:val="24"/>
        </w:rPr>
        <w:t>s</w:t>
      </w:r>
      <w:r w:rsidR="00116280">
        <w:rPr>
          <w:rFonts w:ascii="Palatino Linotype" w:hAnsi="Palatino Linotype" w:cs="Arial"/>
          <w:sz w:val="24"/>
        </w:rPr>
        <w:t xml:space="preserve"> </w:t>
      </w:r>
      <w:r w:rsidRPr="00224181">
        <w:rPr>
          <w:rFonts w:ascii="Palatino Linotype" w:hAnsi="Palatino Linotype" w:cs="Arial"/>
          <w:sz w:val="24"/>
        </w:rPr>
        <w:t>respuesta</w:t>
      </w:r>
      <w:r w:rsidR="00C368B4">
        <w:rPr>
          <w:rFonts w:ascii="Palatino Linotype" w:hAnsi="Palatino Linotype" w:cs="Arial"/>
          <w:sz w:val="24"/>
        </w:rPr>
        <w:t>s</w:t>
      </w:r>
      <w:r w:rsidRPr="00224181">
        <w:rPr>
          <w:rFonts w:ascii="Palatino Linotype" w:hAnsi="Palatino Linotype" w:cs="Arial"/>
          <w:sz w:val="24"/>
        </w:rPr>
        <w:t xml:space="preserve"> </w:t>
      </w:r>
      <w:r w:rsidR="005A4073">
        <w:rPr>
          <w:rFonts w:ascii="Palatino Linotype" w:hAnsi="Palatino Linotype" w:cs="Arial"/>
          <w:sz w:val="24"/>
          <w:szCs w:val="24"/>
        </w:rPr>
        <w:t>de</w:t>
      </w:r>
      <w:r w:rsidR="00C368B4">
        <w:rPr>
          <w:rFonts w:ascii="Palatino Linotype" w:hAnsi="Palatino Linotype" w:cs="Arial"/>
          <w:sz w:val="24"/>
          <w:szCs w:val="24"/>
        </w:rPr>
        <w:t xml:space="preserve"> la</w:t>
      </w:r>
      <w:r w:rsidRPr="00224181">
        <w:rPr>
          <w:rFonts w:ascii="Palatino Linotype" w:hAnsi="Palatino Linotype" w:cs="Arial"/>
          <w:sz w:val="24"/>
          <w:szCs w:val="24"/>
        </w:rPr>
        <w:t xml:space="preserve"> </w:t>
      </w:r>
      <w:r w:rsidR="00C368B4" w:rsidRPr="00C368B4">
        <w:rPr>
          <w:rFonts w:ascii="Palatino Linotype" w:hAnsi="Palatino Linotype" w:cs="Arial"/>
          <w:b/>
          <w:sz w:val="24"/>
          <w:szCs w:val="24"/>
        </w:rPr>
        <w:t>Universidad Politécnica del Valle de Toluca</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3099C" w:rsidRDefault="00E3099C" w:rsidP="00E3099C">
      <w:pPr>
        <w:tabs>
          <w:tab w:val="left" w:pos="1701"/>
        </w:tabs>
        <w:spacing w:before="240" w:line="360" w:lineRule="auto"/>
        <w:jc w:val="both"/>
        <w:rPr>
          <w:rFonts w:ascii="Palatino Linotype" w:hAnsi="Palatino Linotype" w:cs="Arial"/>
          <w:sz w:val="24"/>
        </w:rPr>
      </w:pPr>
    </w:p>
    <w:p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C368B4">
        <w:rPr>
          <w:rFonts w:ascii="Palatino Linotype" w:hAnsi="Palatino Linotype"/>
          <w:b/>
          <w:sz w:val="28"/>
          <w:szCs w:val="28"/>
        </w:rPr>
        <w:t>s</w:t>
      </w:r>
      <w:r w:rsidRPr="0087163A">
        <w:rPr>
          <w:rFonts w:ascii="Palatino Linotype" w:hAnsi="Palatino Linotype"/>
          <w:b/>
          <w:sz w:val="28"/>
          <w:szCs w:val="28"/>
        </w:rPr>
        <w:t xml:space="preserve"> Solicitud</w:t>
      </w:r>
      <w:r w:rsidR="00C368B4">
        <w:rPr>
          <w:rFonts w:ascii="Palatino Linotype" w:hAnsi="Palatino Linotype"/>
          <w:b/>
          <w:sz w:val="28"/>
          <w:szCs w:val="28"/>
        </w:rPr>
        <w:t>es</w:t>
      </w:r>
      <w:r w:rsidRPr="0087163A">
        <w:rPr>
          <w:rFonts w:ascii="Palatino Linotype" w:hAnsi="Palatino Linotype"/>
          <w:b/>
          <w:sz w:val="28"/>
          <w:szCs w:val="28"/>
        </w:rPr>
        <w:t xml:space="preserve"> de Información.</w:t>
      </w:r>
    </w:p>
    <w:p w:rsidR="00E3099C"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1F3C22">
        <w:rPr>
          <w:rFonts w:ascii="Palatino Linotype" w:hAnsi="Palatino Linotype" w:cs="Arial"/>
          <w:sz w:val="24"/>
        </w:rPr>
        <w:t xml:space="preserve"> fecha veinticuatro y veintinueve</w:t>
      </w:r>
      <w:r w:rsidR="004A66B1">
        <w:rPr>
          <w:rFonts w:ascii="Palatino Linotype" w:hAnsi="Palatino Linotype" w:cs="Arial"/>
          <w:sz w:val="24"/>
        </w:rPr>
        <w:t xml:space="preserve"> de </w:t>
      </w:r>
      <w:r w:rsidR="001F3C22">
        <w:rPr>
          <w:rFonts w:ascii="Palatino Linotype" w:hAnsi="Palatino Linotype" w:cs="Arial"/>
          <w:sz w:val="24"/>
        </w:rPr>
        <w:t>octubre</w:t>
      </w:r>
      <w:r w:rsidR="00C368B4">
        <w:rPr>
          <w:rFonts w:ascii="Palatino Linotype" w:hAnsi="Palatino Linotype" w:cs="Arial"/>
          <w:sz w:val="24"/>
        </w:rPr>
        <w:t xml:space="preserve"> </w:t>
      </w:r>
      <w:r w:rsidR="00E3099C">
        <w:rPr>
          <w:rFonts w:ascii="Palatino Linotype" w:hAnsi="Palatino Linotype" w:cs="Arial"/>
          <w:sz w:val="24"/>
        </w:rPr>
        <w:t>de dos mil dieci</w:t>
      </w:r>
      <w:r>
        <w:rPr>
          <w:rFonts w:ascii="Palatino Linotype" w:hAnsi="Palatino Linotype" w:cs="Arial"/>
          <w:sz w:val="24"/>
        </w:rPr>
        <w:t>ocho</w:t>
      </w:r>
      <w:r w:rsidR="00E3099C">
        <w:rPr>
          <w:rFonts w:ascii="Palatino Linotype" w:hAnsi="Palatino Linotype" w:cs="Arial"/>
          <w:sz w:val="24"/>
        </w:rPr>
        <w:t xml:space="preserve">, </w:t>
      </w:r>
      <w:r w:rsidR="00463DFE">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proofErr w:type="gramStart"/>
      <w:r w:rsidRPr="009F22C8">
        <w:rPr>
          <w:rFonts w:ascii="Palatino Linotype" w:hAnsi="Palatino Linotype" w:cs="Arial"/>
          <w:sz w:val="24"/>
        </w:rPr>
        <w:t>el</w:t>
      </w:r>
      <w:proofErr w:type="gramEnd"/>
      <w:r w:rsidRPr="009F22C8">
        <w:rPr>
          <w:rFonts w:ascii="Palatino Linotype" w:hAnsi="Palatino Linotype" w:cs="Arial"/>
          <w:sz w:val="24"/>
        </w:rPr>
        <w:t xml:space="preserve"> sujeto o</w:t>
      </w:r>
      <w:r w:rsidR="00E3099C" w:rsidRPr="009F22C8">
        <w:rPr>
          <w:rFonts w:ascii="Palatino Linotype" w:hAnsi="Palatino Linotype" w:cs="Arial"/>
          <w:sz w:val="24"/>
        </w:rPr>
        <w:t>bligado</w:t>
      </w:r>
      <w:r w:rsidR="00E3099C">
        <w:rPr>
          <w:rFonts w:ascii="Palatino Linotype" w:hAnsi="Palatino Linotype" w:cs="Arial"/>
          <w:sz w:val="24"/>
        </w:rPr>
        <w:t xml:space="preserve">, </w:t>
      </w:r>
      <w:r w:rsidR="00C368B4">
        <w:rPr>
          <w:rFonts w:ascii="Palatino Linotype" w:hAnsi="Palatino Linotype" w:cs="Arial"/>
          <w:sz w:val="24"/>
        </w:rPr>
        <w:t xml:space="preserve">las </w:t>
      </w:r>
      <w:r w:rsidR="00E3099C">
        <w:rPr>
          <w:rFonts w:ascii="Palatino Linotype" w:hAnsi="Palatino Linotype" w:cs="Arial"/>
          <w:sz w:val="24"/>
        </w:rPr>
        <w:t>solicitud</w:t>
      </w:r>
      <w:r w:rsidR="00C368B4">
        <w:rPr>
          <w:rFonts w:ascii="Palatino Linotype" w:hAnsi="Palatino Linotype" w:cs="Arial"/>
          <w:sz w:val="24"/>
        </w:rPr>
        <w:t>es</w:t>
      </w:r>
      <w:r w:rsidR="00E3099C">
        <w:rPr>
          <w:rFonts w:ascii="Palatino Linotype" w:hAnsi="Palatino Linotype" w:cs="Arial"/>
          <w:sz w:val="24"/>
        </w:rPr>
        <w:t xml:space="preserve"> de acceso a la información pública, registrada</w:t>
      </w:r>
      <w:r w:rsidR="00C368B4">
        <w:rPr>
          <w:rFonts w:ascii="Palatino Linotype" w:hAnsi="Palatino Linotype" w:cs="Arial"/>
          <w:sz w:val="24"/>
        </w:rPr>
        <w:t>s bajo los</w:t>
      </w:r>
      <w:r w:rsidR="00E3099C">
        <w:rPr>
          <w:rFonts w:ascii="Palatino Linotype" w:hAnsi="Palatino Linotype" w:cs="Arial"/>
          <w:sz w:val="24"/>
        </w:rPr>
        <w:t xml:space="preserve"> número</w:t>
      </w:r>
      <w:r w:rsidR="00C368B4">
        <w:rPr>
          <w:rFonts w:ascii="Palatino Linotype" w:hAnsi="Palatino Linotype" w:cs="Arial"/>
          <w:sz w:val="24"/>
        </w:rPr>
        <w:t>s</w:t>
      </w:r>
      <w:r w:rsidR="00E3099C">
        <w:rPr>
          <w:rFonts w:ascii="Palatino Linotype" w:hAnsi="Palatino Linotype" w:cs="Arial"/>
          <w:sz w:val="24"/>
        </w:rPr>
        <w:t xml:space="preserve"> de expediente</w:t>
      </w:r>
      <w:r w:rsidR="00DF676F">
        <w:rPr>
          <w:rFonts w:ascii="Palatino Linotype" w:hAnsi="Palatino Linotype" w:cs="Arial"/>
          <w:sz w:val="24"/>
        </w:rPr>
        <w:t>s</w:t>
      </w:r>
      <w:r w:rsidR="00B75628">
        <w:rPr>
          <w:rFonts w:ascii="Palatino Linotype" w:hAnsi="Palatino Linotype" w:cs="Arial"/>
          <w:b/>
          <w:sz w:val="24"/>
        </w:rPr>
        <w:t xml:space="preserve"> </w:t>
      </w:r>
      <w:r w:rsidR="004A66B1" w:rsidRPr="004A66B1">
        <w:rPr>
          <w:rFonts w:ascii="Palatino Linotype" w:hAnsi="Palatino Linotype" w:cs="Arial"/>
          <w:b/>
          <w:sz w:val="24"/>
        </w:rPr>
        <w:t xml:space="preserve"> </w:t>
      </w:r>
      <w:r w:rsidR="00B24392" w:rsidRPr="00B24392">
        <w:rPr>
          <w:rFonts w:ascii="Palatino Linotype" w:hAnsi="Palatino Linotype" w:cs="Arial"/>
          <w:b/>
          <w:sz w:val="24"/>
        </w:rPr>
        <w:t xml:space="preserve"> 01424/UPVT/IP/2018</w:t>
      </w:r>
      <w:r w:rsidR="00B24392">
        <w:rPr>
          <w:rFonts w:ascii="Palatino Linotype" w:hAnsi="Palatino Linotype" w:cs="Arial"/>
          <w:b/>
          <w:sz w:val="24"/>
        </w:rPr>
        <w:t xml:space="preserve"> </w:t>
      </w:r>
      <w:r w:rsidR="00C368B4">
        <w:rPr>
          <w:rFonts w:ascii="Palatino Linotype" w:hAnsi="Palatino Linotype" w:cs="Arial"/>
          <w:b/>
          <w:sz w:val="24"/>
        </w:rPr>
        <w:t xml:space="preserve">y </w:t>
      </w:r>
      <w:r w:rsidR="00C368B4" w:rsidRPr="00C368B4">
        <w:rPr>
          <w:rFonts w:ascii="Palatino Linotype" w:hAnsi="Palatino Linotype" w:cs="Arial"/>
          <w:b/>
          <w:sz w:val="24"/>
        </w:rPr>
        <w:t xml:space="preserve"> </w:t>
      </w:r>
      <w:r w:rsidR="00B24392" w:rsidRPr="00B24392">
        <w:rPr>
          <w:rFonts w:ascii="Palatino Linotype" w:hAnsi="Palatino Linotype" w:cs="Arial"/>
          <w:b/>
          <w:sz w:val="24"/>
        </w:rPr>
        <w:t xml:space="preserve"> 01448/UPVT/IP/2018</w:t>
      </w:r>
      <w:r w:rsidR="00E3099C">
        <w:rPr>
          <w:rFonts w:ascii="Palatino Linotype" w:hAnsi="Palatino Linotype" w:cs="Arial"/>
          <w:b/>
          <w:sz w:val="24"/>
          <w:lang w:eastAsia="es-MX"/>
        </w:rPr>
        <w:t xml:space="preserve">, </w:t>
      </w:r>
      <w:r w:rsidR="00E3099C">
        <w:rPr>
          <w:rFonts w:ascii="Palatino Linotype" w:hAnsi="Palatino Linotype" w:cs="Arial"/>
          <w:sz w:val="24"/>
        </w:rPr>
        <w:t>mediante la</w:t>
      </w:r>
      <w:r w:rsidR="00601058">
        <w:rPr>
          <w:rFonts w:ascii="Palatino Linotype" w:hAnsi="Palatino Linotype" w:cs="Arial"/>
          <w:sz w:val="24"/>
        </w:rPr>
        <w:t>s</w:t>
      </w:r>
      <w:r w:rsidR="00E3099C">
        <w:rPr>
          <w:rFonts w:ascii="Palatino Linotype" w:hAnsi="Palatino Linotype" w:cs="Arial"/>
          <w:sz w:val="24"/>
        </w:rPr>
        <w:t xml:space="preserve"> cual</w:t>
      </w:r>
      <w:r w:rsidR="00601058">
        <w:rPr>
          <w:rFonts w:ascii="Palatino Linotype" w:hAnsi="Palatino Linotype" w:cs="Arial"/>
          <w:sz w:val="24"/>
        </w:rPr>
        <w:t>es</w:t>
      </w:r>
      <w:r w:rsidR="00E3099C">
        <w:rPr>
          <w:rFonts w:ascii="Palatino Linotype" w:hAnsi="Palatino Linotype" w:cs="Arial"/>
          <w:sz w:val="24"/>
        </w:rPr>
        <w:t xml:space="preserve"> solicitó información en el tenor siguiente:</w:t>
      </w:r>
    </w:p>
    <w:p w:rsidR="00601058" w:rsidRDefault="00601058" w:rsidP="00C56242">
      <w:pPr>
        <w:spacing w:line="240" w:lineRule="auto"/>
        <w:ind w:left="851" w:right="850"/>
        <w:jc w:val="both"/>
        <w:rPr>
          <w:rFonts w:ascii="Palatino Linotype" w:hAnsi="Palatino Linotype" w:cs="Arial"/>
          <w:b/>
          <w:sz w:val="24"/>
        </w:rPr>
      </w:pPr>
    </w:p>
    <w:p w:rsidR="00601058" w:rsidRDefault="00226642" w:rsidP="00C56242">
      <w:pPr>
        <w:spacing w:line="240" w:lineRule="auto"/>
        <w:ind w:left="851" w:right="850"/>
        <w:jc w:val="both"/>
        <w:rPr>
          <w:rFonts w:ascii="Palatino Linotype" w:hAnsi="Palatino Linotype"/>
          <w:i/>
          <w:lang w:val="es-ES_tradnl"/>
        </w:rPr>
      </w:pPr>
      <w:r w:rsidRPr="00226642">
        <w:rPr>
          <w:rFonts w:ascii="Palatino Linotype" w:hAnsi="Palatino Linotype" w:cs="Arial"/>
          <w:b/>
          <w:sz w:val="24"/>
        </w:rPr>
        <w:lastRenderedPageBreak/>
        <w:t>01424/UPVT/IP/2018</w:t>
      </w:r>
    </w:p>
    <w:p w:rsidR="00E3099C" w:rsidRDefault="00E3099C" w:rsidP="00C56242">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6D6B26" w:rsidRPr="006D6B26">
        <w:rPr>
          <w:rFonts w:ascii="Palatino Linotype" w:hAnsi="Palatino Linotype"/>
          <w:i/>
          <w:lang w:val="es-ES_tradnl"/>
        </w:rPr>
        <w:t xml:space="preserve">Finiquitos o liquidaciones pagadas a </w:t>
      </w:r>
      <w:r w:rsidR="00840816">
        <w:rPr>
          <w:rFonts w:ascii="Palatino Linotype" w:hAnsi="Palatino Linotype"/>
          <w:i/>
          <w:lang w:val="es-ES_tradnl"/>
        </w:rPr>
        <w:t>XXXXXXXXXXX</w:t>
      </w:r>
      <w:r w:rsidR="006D6B26" w:rsidRPr="006D6B26">
        <w:rPr>
          <w:rFonts w:ascii="Palatino Linotype" w:hAnsi="Palatino Linotype"/>
          <w:i/>
          <w:lang w:val="es-ES_tradnl"/>
        </w:rPr>
        <w:t xml:space="preserve">, desde la existencia de la universidad al día de hoy, señalando las funciones que la ya mencionada lleva a cabo actualmente e indicando en el período señalado cuanto se le </w:t>
      </w:r>
      <w:proofErr w:type="spellStart"/>
      <w:r w:rsidR="006D6B26" w:rsidRPr="006D6B26">
        <w:rPr>
          <w:rFonts w:ascii="Palatino Linotype" w:hAnsi="Palatino Linotype"/>
          <w:i/>
          <w:lang w:val="es-ES_tradnl"/>
        </w:rPr>
        <w:t>a</w:t>
      </w:r>
      <w:proofErr w:type="spellEnd"/>
      <w:r w:rsidR="006D6B26" w:rsidRPr="006D6B26">
        <w:rPr>
          <w:rFonts w:ascii="Palatino Linotype" w:hAnsi="Palatino Linotype"/>
          <w:i/>
          <w:lang w:val="es-ES_tradnl"/>
        </w:rPr>
        <w:t xml:space="preserve"> pagado a esta </w:t>
      </w:r>
      <w:proofErr w:type="spellStart"/>
      <w:r w:rsidR="006D6B26" w:rsidRPr="006D6B26">
        <w:rPr>
          <w:rFonts w:ascii="Palatino Linotype" w:hAnsi="Palatino Linotype"/>
          <w:i/>
          <w:lang w:val="es-ES_tradnl"/>
        </w:rPr>
        <w:t>sra</w:t>
      </w:r>
      <w:r w:rsidR="009F22C8" w:rsidRPr="009F22C8">
        <w:rPr>
          <w:rFonts w:ascii="Palatino Linotype" w:hAnsi="Palatino Linotype"/>
          <w:i/>
          <w:lang w:val="es-ES_tradnl"/>
        </w:rPr>
        <w:t>.</w:t>
      </w:r>
      <w:proofErr w:type="spellEnd"/>
      <w:r w:rsidRPr="00C87F01">
        <w:rPr>
          <w:rFonts w:ascii="Palatino Linotype" w:hAnsi="Palatino Linotype"/>
          <w:i/>
          <w:lang w:val="es-ES_tradnl"/>
        </w:rPr>
        <w:t>”</w:t>
      </w:r>
      <w:r w:rsidR="005A4073">
        <w:rPr>
          <w:rFonts w:ascii="Palatino Linotype" w:hAnsi="Palatino Linotype"/>
          <w:i/>
          <w:lang w:val="es-ES_tradnl"/>
        </w:rPr>
        <w:t xml:space="preserve"> </w:t>
      </w:r>
      <w:r w:rsidRPr="007175C5">
        <w:rPr>
          <w:rFonts w:ascii="Palatino Linotype" w:hAnsi="Palatino Linotype"/>
          <w:i/>
          <w:lang w:val="es-ES_tradnl"/>
        </w:rPr>
        <w:t>[Sic]</w:t>
      </w:r>
    </w:p>
    <w:p w:rsidR="00601058" w:rsidRDefault="00601058" w:rsidP="00C56242">
      <w:pPr>
        <w:spacing w:line="240" w:lineRule="auto"/>
        <w:ind w:left="851" w:right="850"/>
        <w:jc w:val="both"/>
        <w:rPr>
          <w:rFonts w:ascii="Palatino Linotype" w:hAnsi="Palatino Linotype"/>
          <w:i/>
          <w:lang w:val="es-ES_tradnl"/>
        </w:rPr>
      </w:pPr>
    </w:p>
    <w:p w:rsidR="00601058" w:rsidRDefault="00B24392" w:rsidP="00C56242">
      <w:pPr>
        <w:spacing w:line="240" w:lineRule="auto"/>
        <w:ind w:left="851" w:right="850"/>
        <w:jc w:val="both"/>
        <w:rPr>
          <w:rFonts w:ascii="Palatino Linotype" w:hAnsi="Palatino Linotype" w:cs="Arial"/>
          <w:b/>
          <w:sz w:val="24"/>
        </w:rPr>
      </w:pPr>
      <w:r w:rsidRPr="00B24392">
        <w:rPr>
          <w:rFonts w:ascii="Palatino Linotype" w:hAnsi="Palatino Linotype" w:cs="Arial"/>
          <w:b/>
          <w:sz w:val="24"/>
        </w:rPr>
        <w:t>01448/UPVT/IP/2018</w:t>
      </w:r>
    </w:p>
    <w:p w:rsidR="00601058" w:rsidRDefault="00601058" w:rsidP="00C56242">
      <w:pPr>
        <w:spacing w:line="240" w:lineRule="auto"/>
        <w:ind w:left="851" w:right="850"/>
        <w:jc w:val="both"/>
        <w:rPr>
          <w:rFonts w:ascii="Palatino Linotype" w:hAnsi="Palatino Linotype"/>
          <w:i/>
          <w:lang w:val="es-ES_tradnl"/>
        </w:rPr>
      </w:pPr>
      <w:r>
        <w:rPr>
          <w:rFonts w:ascii="Palatino Linotype" w:hAnsi="Palatino Linotype"/>
          <w:i/>
          <w:lang w:val="es-ES_tradnl"/>
        </w:rPr>
        <w:t>“</w:t>
      </w:r>
      <w:r w:rsidR="00EC3117" w:rsidRPr="00EC3117">
        <w:rPr>
          <w:rFonts w:ascii="Palatino Linotype" w:hAnsi="Palatino Linotype"/>
          <w:i/>
          <w:lang w:val="es-ES_tradnl"/>
        </w:rPr>
        <w:t>Cantidad de aguinaldo a pagar por trabajador, prestación que se paga de acuerdo a la institución en el mes de noviembre en este caso de 2018,refiriendo los pagos de aguinaldo que ya se han efectuado por concepto de renuncia, finiquito, liquidación o indemnización declarada por autoridad laboral</w:t>
      </w:r>
      <w:r>
        <w:rPr>
          <w:rFonts w:ascii="Palatino Linotype" w:hAnsi="Palatino Linotype"/>
          <w:i/>
          <w:lang w:val="es-ES_tradnl"/>
        </w:rPr>
        <w:t xml:space="preserve">” </w:t>
      </w:r>
      <w:r w:rsidRPr="007175C5">
        <w:rPr>
          <w:rFonts w:ascii="Palatino Linotype" w:hAnsi="Palatino Linotype"/>
          <w:i/>
          <w:lang w:val="es-ES_tradnl"/>
        </w:rPr>
        <w:t>[Sic]</w:t>
      </w:r>
    </w:p>
    <w:p w:rsidR="008902C6" w:rsidRDefault="008902C6" w:rsidP="00B51566">
      <w:pPr>
        <w:tabs>
          <w:tab w:val="left" w:pos="8789"/>
          <w:tab w:val="left" w:pos="9072"/>
        </w:tabs>
        <w:spacing w:line="240" w:lineRule="auto"/>
        <w:ind w:right="850"/>
        <w:jc w:val="both"/>
        <w:rPr>
          <w:rFonts w:ascii="Palatino Linotype" w:hAnsi="Palatino Linotype"/>
          <w:lang w:val="es-ES_tradnl"/>
        </w:rPr>
      </w:pPr>
    </w:p>
    <w:p w:rsidR="00601058" w:rsidRPr="008902C6" w:rsidRDefault="00601058" w:rsidP="00B51566">
      <w:pPr>
        <w:tabs>
          <w:tab w:val="left" w:pos="8789"/>
          <w:tab w:val="left" w:pos="9072"/>
        </w:tabs>
        <w:spacing w:line="240" w:lineRule="auto"/>
        <w:ind w:right="850"/>
        <w:jc w:val="both"/>
        <w:rPr>
          <w:rFonts w:ascii="Palatino Linotype" w:hAnsi="Palatino Linotype"/>
          <w:lang w:val="es-ES_tradnl"/>
        </w:rPr>
      </w:pPr>
    </w:p>
    <w:p w:rsidR="00E3099C" w:rsidRPr="00BE2480" w:rsidRDefault="00601058" w:rsidP="00B51566">
      <w:pPr>
        <w:tabs>
          <w:tab w:val="left" w:pos="8789"/>
          <w:tab w:val="left" w:pos="9072"/>
        </w:tabs>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Haciéndose constar que de los</w:t>
      </w:r>
      <w:r w:rsidR="00A443F5">
        <w:rPr>
          <w:rFonts w:ascii="Palatino Linotype" w:eastAsia="Times New Roman" w:hAnsi="Palatino Linotype" w:cs="Times New Roman"/>
          <w:sz w:val="24"/>
          <w:szCs w:val="24"/>
          <w:lang w:val="es-ES_tradnl" w:eastAsia="es-ES"/>
        </w:rPr>
        <w:t xml:space="preserve"> acuse</w:t>
      </w:r>
      <w:r>
        <w:rPr>
          <w:rFonts w:ascii="Palatino Linotype" w:eastAsia="Times New Roman" w:hAnsi="Palatino Linotype" w:cs="Times New Roman"/>
          <w:sz w:val="24"/>
          <w:szCs w:val="24"/>
          <w:lang w:val="es-ES_tradnl" w:eastAsia="es-ES"/>
        </w:rPr>
        <w:t>s</w:t>
      </w:r>
      <w:r w:rsidR="00A443F5">
        <w:rPr>
          <w:rFonts w:ascii="Palatino Linotype" w:eastAsia="Times New Roman" w:hAnsi="Palatino Linotype" w:cs="Times New Roman"/>
          <w:sz w:val="24"/>
          <w:szCs w:val="24"/>
          <w:lang w:val="es-ES_tradnl" w:eastAsia="es-ES"/>
        </w:rPr>
        <w:t xml:space="preserve"> de la</w:t>
      </w:r>
      <w:r>
        <w:rPr>
          <w:rFonts w:ascii="Palatino Linotype" w:eastAsia="Times New Roman" w:hAnsi="Palatino Linotype" w:cs="Times New Roman"/>
          <w:sz w:val="24"/>
          <w:szCs w:val="24"/>
          <w:lang w:val="es-ES_tradnl" w:eastAsia="es-ES"/>
        </w:rPr>
        <w:t>s</w:t>
      </w:r>
      <w:r w:rsidR="00A443F5">
        <w:rPr>
          <w:rFonts w:ascii="Palatino Linotype" w:eastAsia="Times New Roman" w:hAnsi="Palatino Linotype" w:cs="Times New Roman"/>
          <w:sz w:val="24"/>
          <w:szCs w:val="24"/>
          <w:lang w:val="es-ES_tradnl" w:eastAsia="es-ES"/>
        </w:rPr>
        <w:t xml:space="preserve"> solicitud</w:t>
      </w:r>
      <w:r>
        <w:rPr>
          <w:rFonts w:ascii="Palatino Linotype" w:eastAsia="Times New Roman" w:hAnsi="Palatino Linotype" w:cs="Times New Roman"/>
          <w:sz w:val="24"/>
          <w:szCs w:val="24"/>
          <w:lang w:val="es-ES_tradnl" w:eastAsia="es-ES"/>
        </w:rPr>
        <w:t>es de información contenida en los</w:t>
      </w:r>
      <w:r w:rsidR="00A443F5">
        <w:rPr>
          <w:rFonts w:ascii="Palatino Linotype" w:eastAsia="Times New Roman" w:hAnsi="Palatino Linotype" w:cs="Times New Roman"/>
          <w:sz w:val="24"/>
          <w:szCs w:val="24"/>
          <w:lang w:val="es-ES_tradnl" w:eastAsia="es-ES"/>
        </w:rPr>
        <w:t xml:space="preserve"> expediente</w:t>
      </w:r>
      <w:r>
        <w:rPr>
          <w:rFonts w:ascii="Palatino Linotype" w:eastAsia="Times New Roman" w:hAnsi="Palatino Linotype" w:cs="Times New Roman"/>
          <w:sz w:val="24"/>
          <w:szCs w:val="24"/>
          <w:lang w:val="es-ES_tradnl" w:eastAsia="es-ES"/>
        </w:rPr>
        <w:t>s</w:t>
      </w:r>
      <w:r w:rsidR="00A443F5">
        <w:rPr>
          <w:rFonts w:ascii="Palatino Linotype" w:eastAsia="Times New Roman" w:hAnsi="Palatino Linotype" w:cs="Times New Roman"/>
          <w:sz w:val="24"/>
          <w:szCs w:val="24"/>
          <w:lang w:val="es-ES_tradnl" w:eastAsia="es-ES"/>
        </w:rPr>
        <w:t xml:space="preserve"> electróni</w:t>
      </w:r>
      <w:r w:rsidR="009F22C8">
        <w:rPr>
          <w:rFonts w:ascii="Palatino Linotype" w:eastAsia="Times New Roman" w:hAnsi="Palatino Linotype" w:cs="Times New Roman"/>
          <w:sz w:val="24"/>
          <w:szCs w:val="24"/>
          <w:lang w:val="es-ES_tradnl" w:eastAsia="es-ES"/>
        </w:rPr>
        <w:t>co</w:t>
      </w:r>
      <w:r>
        <w:rPr>
          <w:rFonts w:ascii="Palatino Linotype" w:eastAsia="Times New Roman" w:hAnsi="Palatino Linotype" w:cs="Times New Roman"/>
          <w:sz w:val="24"/>
          <w:szCs w:val="24"/>
          <w:lang w:val="es-ES_tradnl" w:eastAsia="es-ES"/>
        </w:rPr>
        <w:t>s</w:t>
      </w:r>
      <w:r w:rsidR="009F22C8">
        <w:rPr>
          <w:rFonts w:ascii="Palatino Linotype" w:eastAsia="Times New Roman" w:hAnsi="Palatino Linotype" w:cs="Times New Roman"/>
          <w:sz w:val="24"/>
          <w:szCs w:val="24"/>
          <w:lang w:val="es-ES_tradnl" w:eastAsia="es-ES"/>
        </w:rPr>
        <w:t xml:space="preserve"> del SAIMEX, se aprecia que la</w:t>
      </w:r>
      <w:r w:rsidR="00A443F5">
        <w:rPr>
          <w:rFonts w:ascii="Palatino Linotype" w:eastAsia="Times New Roman" w:hAnsi="Palatino Linotype" w:cs="Times New Roman"/>
          <w:sz w:val="24"/>
          <w:szCs w:val="24"/>
          <w:lang w:val="es-ES_tradnl" w:eastAsia="es-ES"/>
        </w:rPr>
        <w:t xml:space="preserve"> recurrente eligió como modalidad de entrega de información solicitada </w:t>
      </w:r>
      <w:r w:rsidR="00A443F5" w:rsidRPr="00A443F5">
        <w:rPr>
          <w:rFonts w:ascii="Palatino Linotype" w:eastAsia="Times New Roman" w:hAnsi="Palatino Linotype" w:cs="Times New Roman"/>
          <w:i/>
          <w:sz w:val="24"/>
          <w:szCs w:val="24"/>
          <w:lang w:val="es-ES_tradnl" w:eastAsia="es-ES"/>
        </w:rPr>
        <w:t>“a través del SAIMEX”</w:t>
      </w:r>
    </w:p>
    <w:p w:rsidR="00E3099C" w:rsidRPr="008A12F6" w:rsidRDefault="00E3099C" w:rsidP="00E3099C">
      <w:pPr>
        <w:spacing w:before="240" w:line="240" w:lineRule="auto"/>
        <w:ind w:right="850"/>
        <w:jc w:val="both"/>
        <w:rPr>
          <w:rFonts w:ascii="Palatino Linotype" w:eastAsia="Times New Roman" w:hAnsi="Palatino Linotype" w:cs="Times New Roman"/>
          <w:sz w:val="24"/>
          <w:szCs w:val="24"/>
          <w:lang w:val="es-ES_tradnl" w:eastAsia="es-ES"/>
        </w:rPr>
      </w:pPr>
    </w:p>
    <w:p w:rsidR="00E3099C" w:rsidRPr="00CD6DED" w:rsidRDefault="00E3099C" w:rsidP="00E3099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CD6DED">
        <w:rPr>
          <w:rFonts w:ascii="Palatino Linotype" w:hAnsi="Palatino Linotype" w:cs="Arial"/>
          <w:b/>
          <w:sz w:val="28"/>
          <w:szCs w:val="20"/>
        </w:rPr>
        <w:t>De la</w:t>
      </w:r>
      <w:r w:rsidR="00075ED3">
        <w:rPr>
          <w:rFonts w:ascii="Palatino Linotype" w:hAnsi="Palatino Linotype" w:cs="Arial"/>
          <w:b/>
          <w:sz w:val="28"/>
          <w:szCs w:val="20"/>
        </w:rPr>
        <w:t>s</w:t>
      </w:r>
      <w:r w:rsidRPr="00CD6DED">
        <w:rPr>
          <w:rFonts w:ascii="Palatino Linotype" w:hAnsi="Palatino Linotype" w:cs="Arial"/>
          <w:b/>
          <w:sz w:val="28"/>
          <w:szCs w:val="20"/>
        </w:rPr>
        <w:t xml:space="preserve"> respuesta</w:t>
      </w:r>
      <w:r w:rsidR="00075ED3">
        <w:rPr>
          <w:rFonts w:ascii="Palatino Linotype" w:hAnsi="Palatino Linotype" w:cs="Arial"/>
          <w:b/>
          <w:sz w:val="28"/>
          <w:szCs w:val="20"/>
        </w:rPr>
        <w:t>s</w:t>
      </w:r>
      <w:r w:rsidRPr="00CD6DED">
        <w:rPr>
          <w:rFonts w:ascii="Palatino Linotype" w:hAnsi="Palatino Linotype" w:cs="Arial"/>
          <w:b/>
          <w:sz w:val="28"/>
          <w:szCs w:val="20"/>
        </w:rPr>
        <w:t xml:space="preserve"> del Sujeto Obligado.</w:t>
      </w:r>
    </w:p>
    <w:p w:rsidR="00AA51D0" w:rsidRPr="00AA51D0" w:rsidRDefault="00075ED3" w:rsidP="00AA51D0">
      <w:pPr>
        <w:spacing w:before="240" w:line="360" w:lineRule="auto"/>
        <w:jc w:val="both"/>
        <w:rPr>
          <w:rFonts w:ascii="Palatino Linotype" w:hAnsi="Palatino Linotype" w:cs="Arial"/>
          <w:sz w:val="24"/>
        </w:rPr>
      </w:pPr>
      <w:r>
        <w:rPr>
          <w:rFonts w:ascii="Palatino Linotype" w:hAnsi="Palatino Linotype" w:cs="Arial"/>
          <w:sz w:val="24"/>
        </w:rPr>
        <w:t>En los</w:t>
      </w:r>
      <w:r w:rsidR="00A443F5" w:rsidRPr="00A443F5">
        <w:rPr>
          <w:rFonts w:ascii="Palatino Linotype" w:hAnsi="Palatino Linotype" w:cs="Arial"/>
          <w:sz w:val="24"/>
        </w:rPr>
        <w:t xml:space="preserve"> expediente</w:t>
      </w:r>
      <w:r>
        <w:rPr>
          <w:rFonts w:ascii="Palatino Linotype" w:hAnsi="Palatino Linotype" w:cs="Arial"/>
          <w:sz w:val="24"/>
        </w:rPr>
        <w:t>s</w:t>
      </w:r>
      <w:r w:rsidR="00A443F5" w:rsidRPr="00A443F5">
        <w:rPr>
          <w:rFonts w:ascii="Palatino Linotype" w:hAnsi="Palatino Linotype" w:cs="Arial"/>
          <w:sz w:val="24"/>
        </w:rPr>
        <w:t xml:space="preserve"> electrónico</w:t>
      </w:r>
      <w:r>
        <w:rPr>
          <w:rFonts w:ascii="Palatino Linotype" w:hAnsi="Palatino Linotype" w:cs="Arial"/>
          <w:sz w:val="24"/>
        </w:rPr>
        <w:t>s</w:t>
      </w:r>
      <w:r w:rsidR="00A443F5" w:rsidRPr="00A443F5">
        <w:rPr>
          <w:rFonts w:ascii="Palatino Linotype" w:hAnsi="Palatino Linotype" w:cs="Arial"/>
          <w:sz w:val="24"/>
        </w:rPr>
        <w:t xml:space="preserve"> formado</w:t>
      </w:r>
      <w:r>
        <w:rPr>
          <w:rFonts w:ascii="Palatino Linotype" w:hAnsi="Palatino Linotype" w:cs="Arial"/>
          <w:sz w:val="24"/>
        </w:rPr>
        <w:t>s</w:t>
      </w:r>
      <w:r w:rsidR="00A443F5" w:rsidRPr="00A443F5">
        <w:rPr>
          <w:rFonts w:ascii="Palatino Linotype" w:hAnsi="Palatino Linotype" w:cs="Arial"/>
          <w:sz w:val="24"/>
        </w:rPr>
        <w:t xml:space="preserve"> en el sistema SAI</w:t>
      </w:r>
      <w:r w:rsidR="0044778A">
        <w:rPr>
          <w:rFonts w:ascii="Palatino Linotype" w:hAnsi="Palatino Linotype" w:cs="Arial"/>
          <w:sz w:val="24"/>
        </w:rPr>
        <w:t>MEX,</w:t>
      </w:r>
      <w:r w:rsidR="00AA51D0">
        <w:rPr>
          <w:rFonts w:ascii="Palatino Linotype" w:hAnsi="Palatino Linotype" w:cs="Arial"/>
          <w:sz w:val="24"/>
        </w:rPr>
        <w:t xml:space="preserve"> se a</w:t>
      </w:r>
      <w:r>
        <w:rPr>
          <w:rFonts w:ascii="Palatino Linotype" w:hAnsi="Palatino Linotype" w:cs="Arial"/>
          <w:sz w:val="24"/>
        </w:rPr>
        <w:t xml:space="preserve">precia que en </w:t>
      </w:r>
      <w:r w:rsidR="00EC3117">
        <w:rPr>
          <w:rFonts w:ascii="Palatino Linotype" w:hAnsi="Palatino Linotype" w:cs="Arial"/>
          <w:sz w:val="24"/>
        </w:rPr>
        <w:t>fecha quince y veintiuno de noviembre</w:t>
      </w:r>
      <w:r w:rsidR="00C04E8C">
        <w:rPr>
          <w:rFonts w:ascii="Palatino Linotype" w:hAnsi="Palatino Linotype" w:cs="Arial"/>
          <w:sz w:val="24"/>
        </w:rPr>
        <w:t xml:space="preserve"> </w:t>
      </w:r>
      <w:r w:rsidR="009F22C8">
        <w:rPr>
          <w:rFonts w:ascii="Palatino Linotype" w:hAnsi="Palatino Linotype" w:cs="Arial"/>
          <w:sz w:val="24"/>
        </w:rPr>
        <w:t>de dos mil dieciocho</w:t>
      </w:r>
      <w:r w:rsidR="00EC3117">
        <w:rPr>
          <w:rFonts w:ascii="Palatino Linotype" w:hAnsi="Palatino Linotype" w:cs="Arial"/>
          <w:sz w:val="24"/>
        </w:rPr>
        <w:t>, respectivamente,</w:t>
      </w:r>
      <w:r w:rsidR="00A443F5" w:rsidRPr="00A443F5">
        <w:rPr>
          <w:rFonts w:ascii="Palatino Linotype" w:hAnsi="Palatino Linotype" w:cs="Arial"/>
          <w:sz w:val="24"/>
        </w:rPr>
        <w:t xml:space="preserve"> el </w:t>
      </w:r>
      <w:r w:rsidR="00B51566">
        <w:rPr>
          <w:rFonts w:ascii="Palatino Linotype" w:hAnsi="Palatino Linotype" w:cs="Arial"/>
          <w:sz w:val="24"/>
        </w:rPr>
        <w:t>sujeto obligado emitió la</w:t>
      </w:r>
      <w:r>
        <w:rPr>
          <w:rFonts w:ascii="Palatino Linotype" w:hAnsi="Palatino Linotype" w:cs="Arial"/>
          <w:sz w:val="24"/>
        </w:rPr>
        <w:t>s res</w:t>
      </w:r>
      <w:r w:rsidR="00EC3117">
        <w:rPr>
          <w:rFonts w:ascii="Palatino Linotype" w:hAnsi="Palatino Linotype" w:cs="Arial"/>
          <w:sz w:val="24"/>
        </w:rPr>
        <w:t>puestas correspondientes a las</w:t>
      </w:r>
      <w:r>
        <w:rPr>
          <w:rFonts w:ascii="Palatino Linotype" w:hAnsi="Palatino Linotype" w:cs="Arial"/>
          <w:sz w:val="24"/>
        </w:rPr>
        <w:t xml:space="preserve"> solicitudes de información</w:t>
      </w:r>
      <w:r w:rsidR="00EC3117">
        <w:rPr>
          <w:rFonts w:ascii="Palatino Linotype" w:hAnsi="Palatino Linotype" w:cs="Arial"/>
          <w:sz w:val="24"/>
        </w:rPr>
        <w:t xml:space="preserve"> en comento</w:t>
      </w:r>
      <w:r w:rsidR="00C91A95">
        <w:rPr>
          <w:rFonts w:ascii="Palatino Linotype" w:hAnsi="Palatino Linotype" w:cs="Arial"/>
          <w:sz w:val="24"/>
        </w:rPr>
        <w:t xml:space="preserve">, adjuntando </w:t>
      </w:r>
      <w:r>
        <w:rPr>
          <w:rFonts w:ascii="Palatino Linotype" w:hAnsi="Palatino Linotype" w:cs="Arial"/>
          <w:sz w:val="24"/>
        </w:rPr>
        <w:t>diversos archivos electrónicos para cada una de las solicitudes</w:t>
      </w:r>
      <w:r w:rsidR="00B51566">
        <w:rPr>
          <w:rFonts w:ascii="Palatino Linotype" w:hAnsi="Palatino Linotype" w:cs="Arial"/>
          <w:sz w:val="24"/>
        </w:rPr>
        <w:t>,</w:t>
      </w:r>
      <w:r w:rsidR="00AA51D0">
        <w:rPr>
          <w:rFonts w:ascii="Palatino Linotype" w:hAnsi="Palatino Linotype" w:cs="Arial"/>
          <w:sz w:val="24"/>
        </w:rPr>
        <w:t xml:space="preserve"> </w:t>
      </w:r>
      <w:r>
        <w:rPr>
          <w:rFonts w:ascii="Palatino Linotype" w:hAnsi="Palatino Linotype" w:cs="Arial"/>
          <w:sz w:val="24"/>
        </w:rPr>
        <w:t>mismas que se</w:t>
      </w:r>
      <w:r w:rsidR="005A4073">
        <w:rPr>
          <w:rFonts w:ascii="Palatino Linotype" w:hAnsi="Palatino Linotype" w:cs="Arial"/>
          <w:sz w:val="24"/>
        </w:rPr>
        <w:t xml:space="preserve"> omite</w:t>
      </w:r>
      <w:r w:rsidR="00AA51D0">
        <w:rPr>
          <w:rFonts w:ascii="Palatino Linotype" w:hAnsi="Palatino Linotype" w:cs="Arial"/>
          <w:sz w:val="24"/>
        </w:rPr>
        <w:t xml:space="preserve"> su inserción </w:t>
      </w:r>
      <w:r w:rsidR="005A4073">
        <w:rPr>
          <w:rFonts w:ascii="Palatino Linotype" w:hAnsi="Palatino Linotype" w:cs="Arial"/>
          <w:sz w:val="24"/>
        </w:rPr>
        <w:t xml:space="preserve">en este apartado </w:t>
      </w:r>
      <w:r w:rsidR="00AA51D0">
        <w:rPr>
          <w:rFonts w:ascii="Palatino Linotype" w:hAnsi="Palatino Linotype" w:cs="Arial"/>
          <w:sz w:val="24"/>
        </w:rPr>
        <w:t>al ser del conocimiento de las partes, sin embargo serán objeto de estudio más adelante.</w:t>
      </w:r>
    </w:p>
    <w:p w:rsidR="00E3099C" w:rsidRPr="00FE4693" w:rsidRDefault="00E3099C" w:rsidP="00FE4693">
      <w:pPr>
        <w:spacing w:before="240" w:line="360" w:lineRule="auto"/>
        <w:rPr>
          <w:rFonts w:ascii="Palatino Linotype" w:hAnsi="Palatino Linotype" w:cs="Arial"/>
          <w:sz w:val="24"/>
        </w:rPr>
      </w:pPr>
      <w:r w:rsidRPr="00441A94">
        <w:rPr>
          <w:rFonts w:ascii="Palatino Linotype" w:hAnsi="Palatino Linotype" w:cs="Arial"/>
          <w:b/>
          <w:sz w:val="28"/>
        </w:rPr>
        <w:lastRenderedPageBreak/>
        <w:t xml:space="preserve">TERCERO. </w:t>
      </w:r>
      <w:r w:rsidR="00075ED3">
        <w:rPr>
          <w:rFonts w:ascii="Palatino Linotype" w:hAnsi="Palatino Linotype"/>
          <w:b/>
          <w:sz w:val="28"/>
        </w:rPr>
        <w:t>De los</w:t>
      </w:r>
      <w:r w:rsidRPr="00441A94">
        <w:rPr>
          <w:rFonts w:ascii="Palatino Linotype" w:hAnsi="Palatino Linotype"/>
          <w:b/>
          <w:sz w:val="28"/>
        </w:rPr>
        <w:t xml:space="preserve"> recurso</w:t>
      </w:r>
      <w:r w:rsidR="00075ED3">
        <w:rPr>
          <w:rFonts w:ascii="Palatino Linotype" w:hAnsi="Palatino Linotype"/>
          <w:b/>
          <w:sz w:val="28"/>
        </w:rPr>
        <w:t>s</w:t>
      </w:r>
      <w:r w:rsidRPr="00441A94">
        <w:rPr>
          <w:rFonts w:ascii="Palatino Linotype" w:hAnsi="Palatino Linotype"/>
          <w:b/>
          <w:sz w:val="28"/>
        </w:rPr>
        <w:t xml:space="preserve"> de revisión.</w:t>
      </w:r>
    </w:p>
    <w:p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Inconforme con la</w:t>
      </w:r>
      <w:r w:rsidR="00075ED3">
        <w:rPr>
          <w:rFonts w:ascii="Palatino Linotype" w:hAnsi="Palatino Linotype" w:cs="Arial"/>
          <w:sz w:val="24"/>
          <w:szCs w:val="24"/>
        </w:rPr>
        <w:t>s</w:t>
      </w:r>
      <w:r>
        <w:rPr>
          <w:rFonts w:ascii="Palatino Linotype" w:hAnsi="Palatino Linotype" w:cs="Arial"/>
          <w:sz w:val="24"/>
          <w:szCs w:val="24"/>
        </w:rPr>
        <w:t xml:space="preserve"> </w:t>
      </w:r>
      <w:r w:rsidR="00116280">
        <w:rPr>
          <w:rFonts w:ascii="Palatino Linotype" w:hAnsi="Palatino Linotype" w:cs="Arial"/>
          <w:sz w:val="24"/>
          <w:szCs w:val="24"/>
        </w:rPr>
        <w:t>respuesta</w:t>
      </w:r>
      <w:r w:rsidR="00075ED3">
        <w:rPr>
          <w:rFonts w:ascii="Palatino Linotype" w:hAnsi="Palatino Linotype" w:cs="Arial"/>
          <w:sz w:val="24"/>
          <w:szCs w:val="24"/>
        </w:rPr>
        <w:t>s</w:t>
      </w:r>
      <w:r w:rsidR="00116280">
        <w:rPr>
          <w:rFonts w:ascii="Palatino Linotype" w:hAnsi="Palatino Linotype" w:cs="Arial"/>
          <w:sz w:val="24"/>
          <w:szCs w:val="24"/>
        </w:rPr>
        <w:t xml:space="preserve"> del </w:t>
      </w:r>
      <w:r w:rsidR="00E3099C" w:rsidRPr="00441A94">
        <w:rPr>
          <w:rFonts w:ascii="Palatino Linotype" w:hAnsi="Palatino Linotype" w:cs="Arial"/>
          <w:sz w:val="24"/>
          <w:szCs w:val="24"/>
        </w:rPr>
        <w:t xml:space="preserve">sujeto obligado, </w:t>
      </w:r>
      <w:r w:rsidR="00DB08D4">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075ED3">
        <w:rPr>
          <w:rFonts w:ascii="Palatino Linotype" w:hAnsi="Palatino Linotype" w:cs="Arial"/>
          <w:sz w:val="24"/>
          <w:szCs w:val="24"/>
        </w:rPr>
        <w:t>interpuso los</w:t>
      </w:r>
      <w:r w:rsidR="00E3099C" w:rsidRPr="00441A94">
        <w:rPr>
          <w:rFonts w:ascii="Palatino Linotype" w:hAnsi="Palatino Linotype" w:cs="Arial"/>
          <w:sz w:val="24"/>
          <w:szCs w:val="24"/>
        </w:rPr>
        <w:t xml:space="preserve"> recurso</w:t>
      </w:r>
      <w:r w:rsidR="00DB08D4">
        <w:rPr>
          <w:rFonts w:ascii="Palatino Linotype" w:hAnsi="Palatino Linotype" w:cs="Arial"/>
          <w:sz w:val="24"/>
          <w:szCs w:val="24"/>
        </w:rPr>
        <w:t>s de revisión, en fecha veinticuatro</w:t>
      </w:r>
      <w:r w:rsidR="00075ED3">
        <w:rPr>
          <w:rFonts w:ascii="Palatino Linotype" w:hAnsi="Palatino Linotype" w:cs="Arial"/>
          <w:sz w:val="24"/>
          <w:szCs w:val="24"/>
        </w:rPr>
        <w:t xml:space="preserve"> </w:t>
      </w:r>
      <w:r w:rsidR="00DB08D4">
        <w:rPr>
          <w:rFonts w:ascii="Palatino Linotype" w:hAnsi="Palatino Linotype" w:cs="Arial"/>
          <w:sz w:val="24"/>
          <w:szCs w:val="24"/>
        </w:rPr>
        <w:t>de noviembre</w:t>
      </w:r>
      <w:r w:rsidR="00075ED3">
        <w:rPr>
          <w:rFonts w:ascii="Palatino Linotype" w:hAnsi="Palatino Linotype" w:cs="Arial"/>
          <w:sz w:val="24"/>
          <w:szCs w:val="24"/>
        </w:rPr>
        <w:t xml:space="preserve"> d</w:t>
      </w:r>
      <w:r w:rsidR="00E3099C">
        <w:rPr>
          <w:rFonts w:ascii="Palatino Linotype" w:hAnsi="Palatino Linotype" w:cs="Arial"/>
          <w:sz w:val="24"/>
          <w:szCs w:val="24"/>
        </w:rPr>
        <w:t>e</w:t>
      </w:r>
      <w:r w:rsidR="00FE4693">
        <w:rPr>
          <w:rFonts w:ascii="Palatino Linotype" w:hAnsi="Palatino Linotype" w:cs="Arial"/>
          <w:sz w:val="24"/>
          <w:szCs w:val="24"/>
        </w:rPr>
        <w:t xml:space="preserve"> dos mil dieciocho</w:t>
      </w:r>
      <w:r w:rsidR="00075ED3">
        <w:rPr>
          <w:rFonts w:ascii="Palatino Linotype" w:hAnsi="Palatino Linotype" w:cs="Arial"/>
          <w:sz w:val="24"/>
          <w:szCs w:val="24"/>
        </w:rPr>
        <w:t>, los</w:t>
      </w:r>
      <w:r w:rsidR="00E3099C" w:rsidRPr="00441A94">
        <w:rPr>
          <w:rFonts w:ascii="Palatino Linotype" w:hAnsi="Palatino Linotype" w:cs="Arial"/>
          <w:sz w:val="24"/>
          <w:szCs w:val="24"/>
        </w:rPr>
        <w:t xml:space="preserve"> cual</w:t>
      </w:r>
      <w:r w:rsidR="00075ED3">
        <w:rPr>
          <w:rFonts w:ascii="Palatino Linotype" w:hAnsi="Palatino Linotype" w:cs="Arial"/>
          <w:sz w:val="24"/>
          <w:szCs w:val="24"/>
        </w:rPr>
        <w:t>es</w:t>
      </w:r>
      <w:r w:rsidR="00E3099C" w:rsidRPr="00441A94">
        <w:rPr>
          <w:rFonts w:ascii="Palatino Linotype" w:hAnsi="Palatino Linotype" w:cs="Arial"/>
          <w:sz w:val="24"/>
          <w:szCs w:val="24"/>
        </w:rPr>
        <w:t xml:space="preserve"> fue</w:t>
      </w:r>
      <w:r w:rsidR="00075ED3">
        <w:rPr>
          <w:rFonts w:ascii="Palatino Linotype" w:hAnsi="Palatino Linotype" w:cs="Arial"/>
          <w:sz w:val="24"/>
          <w:szCs w:val="24"/>
        </w:rPr>
        <w:t>ron</w:t>
      </w:r>
      <w:r w:rsidR="00E3099C" w:rsidRPr="0096643B">
        <w:rPr>
          <w:rFonts w:ascii="Palatino Linotype" w:hAnsi="Palatino Linotype" w:cs="Arial"/>
          <w:sz w:val="24"/>
          <w:szCs w:val="24"/>
        </w:rPr>
        <w:t xml:space="preserve"> registrado</w:t>
      </w:r>
      <w:r w:rsidR="00075ED3">
        <w:rPr>
          <w:rFonts w:ascii="Palatino Linotype" w:hAnsi="Palatino Linotype" w:cs="Arial"/>
          <w:sz w:val="24"/>
          <w:szCs w:val="24"/>
        </w:rPr>
        <w:t>s</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075ED3">
        <w:rPr>
          <w:rFonts w:ascii="Palatino Linotype" w:hAnsi="Palatino Linotype" w:cs="Arial"/>
          <w:sz w:val="24"/>
          <w:szCs w:val="24"/>
        </w:rPr>
        <w:t>con los</w:t>
      </w:r>
      <w:r w:rsidR="00E3099C" w:rsidRPr="0096643B">
        <w:rPr>
          <w:rFonts w:ascii="Palatino Linotype" w:hAnsi="Palatino Linotype" w:cs="Arial"/>
          <w:sz w:val="24"/>
          <w:szCs w:val="24"/>
        </w:rPr>
        <w:t xml:space="preserve"> </w:t>
      </w:r>
      <w:r w:rsidR="00075ED3">
        <w:rPr>
          <w:rFonts w:ascii="Palatino Linotype" w:hAnsi="Palatino Linotype" w:cs="Arial"/>
          <w:sz w:val="24"/>
          <w:szCs w:val="24"/>
        </w:rPr>
        <w:t xml:space="preserve">números de </w:t>
      </w:r>
      <w:r w:rsidR="00E3099C" w:rsidRPr="0096643B">
        <w:rPr>
          <w:rFonts w:ascii="Palatino Linotype" w:hAnsi="Palatino Linotype" w:cs="Arial"/>
          <w:sz w:val="24"/>
          <w:szCs w:val="24"/>
        </w:rPr>
        <w:t>expediente</w:t>
      </w:r>
      <w:r w:rsidR="00E3099C" w:rsidRPr="00626DBC">
        <w:rPr>
          <w:rFonts w:ascii="Palatino Linotype" w:hAnsi="Palatino Linotype" w:cs="Arial"/>
          <w:sz w:val="24"/>
          <w:szCs w:val="24"/>
        </w:rPr>
        <w:t xml:space="preserve"> </w:t>
      </w:r>
      <w:r w:rsidR="00DB08D4">
        <w:rPr>
          <w:rFonts w:ascii="Palatino Linotype" w:hAnsi="Palatino Linotype" w:cs="Arial"/>
          <w:b/>
          <w:sz w:val="24"/>
          <w:szCs w:val="24"/>
        </w:rPr>
        <w:t>04425</w:t>
      </w:r>
      <w:r w:rsidR="00FE4693">
        <w:rPr>
          <w:rFonts w:ascii="Palatino Linotype" w:hAnsi="Palatino Linotype" w:cs="Arial"/>
          <w:b/>
          <w:sz w:val="24"/>
          <w:szCs w:val="24"/>
        </w:rPr>
        <w:t>/INFOEM/IP/RR/2018</w:t>
      </w:r>
      <w:r w:rsidR="00075ED3">
        <w:rPr>
          <w:rFonts w:ascii="Palatino Linotype" w:hAnsi="Palatino Linotype" w:cs="Arial"/>
          <w:b/>
          <w:sz w:val="24"/>
          <w:szCs w:val="24"/>
        </w:rPr>
        <w:t xml:space="preserve"> (para la solicitud </w:t>
      </w:r>
      <w:r w:rsidR="00075ED3" w:rsidRPr="00075ED3">
        <w:rPr>
          <w:rFonts w:ascii="Palatino Linotype" w:hAnsi="Palatino Linotype" w:cs="Arial"/>
          <w:b/>
          <w:sz w:val="24"/>
          <w:szCs w:val="24"/>
        </w:rPr>
        <w:t xml:space="preserve"> </w:t>
      </w:r>
      <w:r w:rsidR="00DB08D4" w:rsidRPr="00DB08D4">
        <w:rPr>
          <w:rFonts w:ascii="Palatino Linotype" w:hAnsi="Palatino Linotype" w:cs="Arial"/>
          <w:b/>
          <w:sz w:val="24"/>
          <w:szCs w:val="24"/>
        </w:rPr>
        <w:t>01424/UPVT/IP/2018</w:t>
      </w:r>
      <w:r w:rsidR="00DB08D4">
        <w:rPr>
          <w:rFonts w:ascii="Palatino Linotype" w:hAnsi="Palatino Linotype" w:cs="Arial"/>
          <w:b/>
          <w:sz w:val="24"/>
          <w:szCs w:val="24"/>
        </w:rPr>
        <w:t>) y 04448</w:t>
      </w:r>
      <w:r w:rsidR="00075ED3" w:rsidRPr="00075ED3">
        <w:rPr>
          <w:rFonts w:ascii="Palatino Linotype" w:hAnsi="Palatino Linotype" w:cs="Arial"/>
          <w:b/>
          <w:sz w:val="24"/>
          <w:szCs w:val="24"/>
        </w:rPr>
        <w:t xml:space="preserve">/INFOEM/IP/RR/2018 </w:t>
      </w:r>
      <w:r w:rsidR="00075ED3">
        <w:rPr>
          <w:rFonts w:ascii="Palatino Linotype" w:hAnsi="Palatino Linotype" w:cs="Arial"/>
          <w:b/>
          <w:sz w:val="24"/>
          <w:szCs w:val="24"/>
        </w:rPr>
        <w:t xml:space="preserve">(para la solicitud </w:t>
      </w:r>
      <w:r w:rsidR="00DB08D4" w:rsidRPr="00DB08D4">
        <w:rPr>
          <w:rFonts w:ascii="Palatino Linotype" w:hAnsi="Palatino Linotype" w:cs="Arial"/>
          <w:b/>
          <w:sz w:val="24"/>
          <w:szCs w:val="24"/>
        </w:rPr>
        <w:t>01448/UPVT/IP/2018</w:t>
      </w:r>
      <w:r w:rsidR="00075ED3">
        <w:rPr>
          <w:rFonts w:ascii="Palatino Linotype" w:hAnsi="Palatino Linotype" w:cs="Arial"/>
          <w:b/>
          <w:sz w:val="24"/>
          <w:szCs w:val="24"/>
        </w:rPr>
        <w:t>)</w:t>
      </w:r>
      <w:r w:rsidR="00075ED3">
        <w:rPr>
          <w:rFonts w:ascii="Palatino Linotype" w:hAnsi="Palatino Linotype" w:cs="Arial"/>
          <w:sz w:val="24"/>
          <w:szCs w:val="24"/>
        </w:rPr>
        <w:t>, en los</w:t>
      </w:r>
      <w:r w:rsidR="00E3099C" w:rsidRPr="0096643B">
        <w:rPr>
          <w:rFonts w:ascii="Palatino Linotype" w:hAnsi="Palatino Linotype" w:cs="Arial"/>
          <w:sz w:val="24"/>
          <w:szCs w:val="24"/>
        </w:rPr>
        <w:t xml:space="preserve"> cual</w:t>
      </w:r>
      <w:r w:rsidR="00075ED3">
        <w:rPr>
          <w:rFonts w:ascii="Palatino Linotype" w:hAnsi="Palatino Linotype" w:cs="Arial"/>
          <w:sz w:val="24"/>
          <w:szCs w:val="24"/>
        </w:rPr>
        <w:t>es</w:t>
      </w:r>
      <w:r w:rsidR="00E3099C" w:rsidRPr="0096643B">
        <w:rPr>
          <w:rFonts w:ascii="Palatino Linotype" w:hAnsi="Palatino Linotype" w:cs="Arial"/>
          <w:sz w:val="24"/>
          <w:szCs w:val="24"/>
        </w:rPr>
        <w:t xml:space="preserve"> </w:t>
      </w:r>
      <w:r w:rsidR="00E3099C" w:rsidRPr="0096643B">
        <w:rPr>
          <w:rFonts w:ascii="Palatino Linotype" w:hAnsi="Palatino Linotype" w:cs="Arial"/>
          <w:sz w:val="24"/>
        </w:rPr>
        <w:t>arguye, las siguientes manifestaciones:</w:t>
      </w:r>
    </w:p>
    <w:p w:rsidR="00075ED3" w:rsidRDefault="00DB08D4" w:rsidP="00E3099C">
      <w:pPr>
        <w:spacing w:before="240"/>
        <w:jc w:val="both"/>
        <w:rPr>
          <w:rFonts w:ascii="Palatino Linotype" w:hAnsi="Palatino Linotype" w:cs="Arial"/>
          <w:b/>
          <w:sz w:val="24"/>
        </w:rPr>
      </w:pPr>
      <w:r>
        <w:rPr>
          <w:rFonts w:ascii="Palatino Linotype" w:hAnsi="Palatino Linotype" w:cs="Arial"/>
          <w:b/>
          <w:sz w:val="24"/>
          <w:szCs w:val="24"/>
        </w:rPr>
        <w:t>04425</w:t>
      </w:r>
      <w:r w:rsidR="00075ED3">
        <w:rPr>
          <w:rFonts w:ascii="Palatino Linotype" w:hAnsi="Palatino Linotype" w:cs="Arial"/>
          <w:b/>
          <w:sz w:val="24"/>
          <w:szCs w:val="24"/>
        </w:rPr>
        <w:t>/INFOEM/IP/RR/2018:</w:t>
      </w:r>
    </w:p>
    <w:p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rsidR="00203755" w:rsidRDefault="00203755" w:rsidP="002F5CAF">
      <w:pPr>
        <w:spacing w:after="0"/>
        <w:jc w:val="both"/>
        <w:rPr>
          <w:rFonts w:ascii="Palatino Linotype" w:hAnsi="Palatino Linotype" w:cs="Arial"/>
          <w:b/>
          <w:sz w:val="24"/>
        </w:rPr>
      </w:pPr>
    </w:p>
    <w:p w:rsidR="00E3099C" w:rsidRDefault="00E3099C" w:rsidP="002F5CAF">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DB08D4" w:rsidRPr="00DB08D4">
        <w:rPr>
          <w:rFonts w:ascii="Palatino Linotype" w:hAnsi="Palatino Linotype"/>
          <w:i/>
          <w:color w:val="000000"/>
        </w:rPr>
        <w:t>Niegan información</w:t>
      </w:r>
      <w:r w:rsidR="00C04E8C" w:rsidRPr="00C04E8C">
        <w:rPr>
          <w:rFonts w:ascii="Palatino Linotype" w:hAnsi="Palatino Linotype"/>
          <w:i/>
          <w:color w:val="000000"/>
        </w:rPr>
        <w:t>.</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rsidR="002F5CAF" w:rsidRPr="002F5CAF" w:rsidRDefault="002F5CAF" w:rsidP="002F5CAF">
      <w:pPr>
        <w:spacing w:line="240" w:lineRule="auto"/>
        <w:ind w:left="851" w:right="850"/>
        <w:jc w:val="both"/>
        <w:rPr>
          <w:rFonts w:ascii="Palatino Linotype" w:hAnsi="Palatino Linotype"/>
          <w:i/>
          <w:color w:val="000000"/>
        </w:rPr>
      </w:pPr>
    </w:p>
    <w:p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2F5CAF" w:rsidRDefault="002F5CAF" w:rsidP="002F5CAF">
      <w:pPr>
        <w:spacing w:after="0" w:line="240" w:lineRule="auto"/>
        <w:ind w:left="851" w:right="850"/>
        <w:jc w:val="both"/>
        <w:rPr>
          <w:rFonts w:ascii="Palatino Linotype" w:hAnsi="Palatino Linotype" w:cs="Arial"/>
          <w:i/>
        </w:rPr>
      </w:pPr>
    </w:p>
    <w:p w:rsidR="00E3099C" w:rsidRPr="004469D5" w:rsidRDefault="00E3099C" w:rsidP="00F12160">
      <w:pPr>
        <w:spacing w:line="240" w:lineRule="auto"/>
        <w:ind w:left="851" w:right="850"/>
        <w:jc w:val="both"/>
        <w:rPr>
          <w:rFonts w:ascii="Palatino Linotype" w:hAnsi="Palatino Linotype" w:cs="Arial"/>
          <w:i/>
        </w:rPr>
      </w:pPr>
      <w:r w:rsidRPr="004469D5">
        <w:rPr>
          <w:rFonts w:ascii="Palatino Linotype" w:hAnsi="Palatino Linotype" w:cs="Arial"/>
          <w:i/>
        </w:rPr>
        <w:t>“</w:t>
      </w:r>
      <w:r w:rsidR="00DB08D4" w:rsidRPr="00DB08D4">
        <w:rPr>
          <w:rFonts w:ascii="Palatino Linotype" w:hAnsi="Palatino Linotype" w:cs="Arial"/>
          <w:i/>
        </w:rPr>
        <w:t>No informan los recursos pagados a la persona que se solicita saber</w:t>
      </w:r>
      <w:r w:rsidR="00C04E8C" w:rsidRPr="00C04E8C">
        <w:rPr>
          <w:rFonts w:ascii="Palatino Linotype" w:hAnsi="Palatino Linotype" w:cs="Arial"/>
          <w:i/>
        </w:rPr>
        <w:t>.</w:t>
      </w:r>
      <w:r w:rsidR="00F12160">
        <w:rPr>
          <w:rFonts w:ascii="Palatino Linotype" w:hAnsi="Palatino Linotype" w:cs="Arial"/>
          <w:i/>
        </w:rPr>
        <w:t>”[S</w:t>
      </w:r>
      <w:r w:rsidRPr="004469D5">
        <w:rPr>
          <w:rFonts w:ascii="Palatino Linotype" w:hAnsi="Palatino Linotype" w:cs="Arial"/>
          <w:i/>
        </w:rPr>
        <w:t>ic]</w:t>
      </w:r>
    </w:p>
    <w:p w:rsidR="00075ED3" w:rsidRDefault="00075ED3" w:rsidP="002F5CAF">
      <w:pPr>
        <w:spacing w:after="0" w:line="360" w:lineRule="auto"/>
        <w:jc w:val="both"/>
        <w:rPr>
          <w:rFonts w:ascii="Palatino Linotype" w:hAnsi="Palatino Linotype" w:cs="Arial"/>
          <w:b/>
          <w:sz w:val="24"/>
          <w:szCs w:val="24"/>
        </w:rPr>
      </w:pPr>
    </w:p>
    <w:p w:rsidR="00E25D3E" w:rsidRDefault="00DB08D4" w:rsidP="00E3099C">
      <w:pPr>
        <w:spacing w:before="240" w:line="360" w:lineRule="auto"/>
        <w:jc w:val="both"/>
        <w:rPr>
          <w:rFonts w:ascii="Palatino Linotype" w:hAnsi="Palatino Linotype" w:cs="Arial"/>
          <w:b/>
          <w:sz w:val="28"/>
        </w:rPr>
      </w:pPr>
      <w:r>
        <w:rPr>
          <w:rFonts w:ascii="Palatino Linotype" w:hAnsi="Palatino Linotype" w:cs="Arial"/>
          <w:b/>
          <w:sz w:val="24"/>
          <w:szCs w:val="24"/>
        </w:rPr>
        <w:t>04448</w:t>
      </w:r>
      <w:r w:rsidR="00075ED3" w:rsidRPr="00075ED3">
        <w:rPr>
          <w:rFonts w:ascii="Palatino Linotype" w:hAnsi="Palatino Linotype" w:cs="Arial"/>
          <w:b/>
          <w:sz w:val="24"/>
          <w:szCs w:val="24"/>
        </w:rPr>
        <w:t>/INFOEM/IP/RR/2018</w:t>
      </w:r>
    </w:p>
    <w:p w:rsidR="002F5CAF" w:rsidRDefault="002F5CAF" w:rsidP="002F5CAF">
      <w:pPr>
        <w:spacing w:before="240"/>
        <w:jc w:val="both"/>
        <w:rPr>
          <w:rFonts w:ascii="Palatino Linotype" w:hAnsi="Palatino Linotype" w:cs="Arial"/>
          <w:b/>
          <w:sz w:val="24"/>
        </w:rPr>
      </w:pPr>
      <w:r>
        <w:rPr>
          <w:rFonts w:ascii="Palatino Linotype" w:hAnsi="Palatino Linotype" w:cs="Arial"/>
          <w:b/>
          <w:sz w:val="24"/>
        </w:rPr>
        <w:t>Acto Impugnado:</w:t>
      </w:r>
    </w:p>
    <w:p w:rsidR="002F5CAF" w:rsidRDefault="002F5CAF" w:rsidP="002F5CAF">
      <w:pPr>
        <w:spacing w:after="0"/>
        <w:jc w:val="both"/>
        <w:rPr>
          <w:rFonts w:ascii="Palatino Linotype" w:hAnsi="Palatino Linotype" w:cs="Arial"/>
          <w:b/>
          <w:sz w:val="24"/>
        </w:rPr>
      </w:pPr>
    </w:p>
    <w:p w:rsidR="002F5CAF" w:rsidRPr="00A435E2" w:rsidRDefault="002F5CAF" w:rsidP="002F5CAF">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DB08D4" w:rsidRPr="00DB08D4">
        <w:rPr>
          <w:rFonts w:ascii="Palatino Linotype" w:hAnsi="Palatino Linotype"/>
          <w:i/>
          <w:color w:val="000000"/>
        </w:rPr>
        <w:t>No es lo solicitado</w:t>
      </w:r>
      <w:r w:rsidRPr="00C04E8C">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2F5CAF" w:rsidRDefault="002F5CAF" w:rsidP="002F5CAF">
      <w:pPr>
        <w:spacing w:after="0"/>
        <w:jc w:val="both"/>
        <w:rPr>
          <w:rFonts w:ascii="Palatino Linotype" w:hAnsi="Palatino Linotype" w:cs="Arial"/>
          <w:b/>
          <w:sz w:val="24"/>
        </w:rPr>
      </w:pPr>
    </w:p>
    <w:p w:rsidR="002F5CAF" w:rsidRDefault="002F5CAF" w:rsidP="002F5CAF">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2F5CAF" w:rsidRDefault="002F5CAF" w:rsidP="002F5CAF">
      <w:pPr>
        <w:spacing w:after="0" w:line="240" w:lineRule="auto"/>
        <w:ind w:left="851" w:right="850"/>
        <w:jc w:val="both"/>
        <w:rPr>
          <w:rFonts w:ascii="Palatino Linotype" w:hAnsi="Palatino Linotype" w:cs="Arial"/>
          <w:i/>
        </w:rPr>
      </w:pPr>
    </w:p>
    <w:p w:rsidR="002F5CAF" w:rsidRPr="004469D5" w:rsidRDefault="002F5CAF" w:rsidP="002F5CAF">
      <w:pPr>
        <w:spacing w:line="240" w:lineRule="auto"/>
        <w:ind w:left="851" w:right="850"/>
        <w:jc w:val="both"/>
        <w:rPr>
          <w:rFonts w:ascii="Palatino Linotype" w:hAnsi="Palatino Linotype" w:cs="Arial"/>
          <w:i/>
        </w:rPr>
      </w:pPr>
      <w:r w:rsidRPr="004469D5">
        <w:rPr>
          <w:rFonts w:ascii="Palatino Linotype" w:hAnsi="Palatino Linotype" w:cs="Arial"/>
          <w:i/>
        </w:rPr>
        <w:t>“</w:t>
      </w:r>
      <w:r w:rsidR="00DB08D4" w:rsidRPr="00DB08D4">
        <w:rPr>
          <w:rFonts w:ascii="Palatino Linotype" w:hAnsi="Palatino Linotype" w:cs="Arial"/>
          <w:i/>
        </w:rPr>
        <w:t>Niegan la información</w:t>
      </w:r>
      <w:r w:rsidRPr="00C04E8C">
        <w:rPr>
          <w:rFonts w:ascii="Palatino Linotype" w:hAnsi="Palatino Linotype" w:cs="Arial"/>
          <w:i/>
        </w:rPr>
        <w:t>.</w:t>
      </w:r>
      <w:r>
        <w:rPr>
          <w:rFonts w:ascii="Palatino Linotype" w:hAnsi="Palatino Linotype" w:cs="Arial"/>
          <w:i/>
        </w:rPr>
        <w:t>”[S</w:t>
      </w:r>
      <w:r w:rsidRPr="004469D5">
        <w:rPr>
          <w:rFonts w:ascii="Palatino Linotype" w:hAnsi="Palatino Linotype" w:cs="Arial"/>
          <w:i/>
        </w:rPr>
        <w:t>ic]</w:t>
      </w:r>
    </w:p>
    <w:p w:rsidR="00075ED3" w:rsidRDefault="00075ED3" w:rsidP="002F5CAF">
      <w:pPr>
        <w:spacing w:after="0" w:line="360" w:lineRule="auto"/>
        <w:jc w:val="both"/>
        <w:rPr>
          <w:rFonts w:ascii="Palatino Linotype" w:hAnsi="Palatino Linotype" w:cs="Arial"/>
          <w:b/>
          <w:sz w:val="28"/>
        </w:rPr>
      </w:pPr>
    </w:p>
    <w:p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2F5CAF">
        <w:rPr>
          <w:rFonts w:ascii="Palatino Linotype" w:hAnsi="Palatino Linotype" w:cs="Arial"/>
          <w:b/>
          <w:sz w:val="28"/>
          <w:szCs w:val="28"/>
        </w:rPr>
        <w:t>De los</w:t>
      </w:r>
      <w:r w:rsidRPr="0087163A">
        <w:rPr>
          <w:rFonts w:ascii="Palatino Linotype" w:hAnsi="Palatino Linotype" w:cs="Arial"/>
          <w:b/>
          <w:sz w:val="28"/>
          <w:szCs w:val="28"/>
        </w:rPr>
        <w:t xml:space="preserve"> turno</w:t>
      </w:r>
      <w:r w:rsidR="002F5CAF">
        <w:rPr>
          <w:rFonts w:ascii="Palatino Linotype" w:hAnsi="Palatino Linotype" w:cs="Arial"/>
          <w:b/>
          <w:sz w:val="28"/>
          <w:szCs w:val="28"/>
        </w:rPr>
        <w:t>s de los</w:t>
      </w:r>
      <w:r w:rsidRPr="0087163A">
        <w:rPr>
          <w:rFonts w:ascii="Palatino Linotype" w:hAnsi="Palatino Linotype" w:cs="Arial"/>
          <w:b/>
          <w:sz w:val="28"/>
          <w:szCs w:val="28"/>
        </w:rPr>
        <w:t xml:space="preserve"> recurso</w:t>
      </w:r>
      <w:r w:rsidR="002F5CAF">
        <w:rPr>
          <w:rFonts w:ascii="Palatino Linotype" w:hAnsi="Palatino Linotype" w:cs="Arial"/>
          <w:b/>
          <w:sz w:val="28"/>
          <w:szCs w:val="28"/>
        </w:rPr>
        <w:t>s</w:t>
      </w:r>
      <w:r w:rsidRPr="0087163A">
        <w:rPr>
          <w:rFonts w:ascii="Palatino Linotype" w:hAnsi="Palatino Linotype" w:cs="Arial"/>
          <w:b/>
          <w:sz w:val="28"/>
          <w:szCs w:val="28"/>
        </w:rPr>
        <w:t xml:space="preserve"> de revisión.</w:t>
      </w:r>
    </w:p>
    <w:p w:rsidR="00E621FB" w:rsidRDefault="00FE4693" w:rsidP="007A2CA1">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w:t>
      </w:r>
      <w:r w:rsidR="002F5CAF">
        <w:rPr>
          <w:rFonts w:ascii="Palatino Linotype" w:hAnsi="Palatino Linotype" w:cs="Arial"/>
          <w:sz w:val="24"/>
          <w:szCs w:val="24"/>
        </w:rPr>
        <w:t>os</w:t>
      </w:r>
      <w:r w:rsidRPr="00FE4693">
        <w:rPr>
          <w:rFonts w:ascii="Palatino Linotype" w:hAnsi="Palatino Linotype" w:cs="Arial"/>
          <w:sz w:val="24"/>
          <w:szCs w:val="24"/>
        </w:rPr>
        <w:t xml:space="preserve"> de impugnación que le fue</w:t>
      </w:r>
      <w:r w:rsidR="002F5CAF">
        <w:rPr>
          <w:rFonts w:ascii="Palatino Linotype" w:hAnsi="Palatino Linotype" w:cs="Arial"/>
          <w:sz w:val="24"/>
          <w:szCs w:val="24"/>
        </w:rPr>
        <w:t>ron</w:t>
      </w:r>
      <w:r w:rsidRPr="00FE4693">
        <w:rPr>
          <w:rFonts w:ascii="Palatino Linotype" w:hAnsi="Palatino Linotype" w:cs="Arial"/>
          <w:sz w:val="24"/>
          <w:szCs w:val="24"/>
        </w:rPr>
        <w:t xml:space="preserve"> turnado</w:t>
      </w:r>
      <w:r w:rsidR="002F5CAF">
        <w:rPr>
          <w:rFonts w:ascii="Palatino Linotype" w:hAnsi="Palatino Linotype" w:cs="Arial"/>
          <w:sz w:val="24"/>
          <w:szCs w:val="24"/>
        </w:rPr>
        <w:t>s</w:t>
      </w:r>
      <w:r w:rsidRPr="00FE4693">
        <w:rPr>
          <w:rFonts w:ascii="Palatino Linotype" w:hAnsi="Palatino Linotype" w:cs="Arial"/>
          <w:sz w:val="24"/>
          <w:szCs w:val="24"/>
        </w:rPr>
        <w:t xml:space="preserve"> a la Comisionada Zulema Martínez Sánchez</w:t>
      </w:r>
      <w:r w:rsidR="002F5CAF">
        <w:rPr>
          <w:rFonts w:ascii="Palatino Linotype" w:hAnsi="Palatino Linotype" w:cs="Arial"/>
          <w:sz w:val="24"/>
          <w:szCs w:val="24"/>
        </w:rPr>
        <w:t xml:space="preserve"> y al Comisionado </w:t>
      </w:r>
      <w:r w:rsidR="00DB08D4">
        <w:rPr>
          <w:rFonts w:ascii="Palatino Linotype" w:hAnsi="Palatino Linotype" w:cs="Arial"/>
          <w:sz w:val="24"/>
          <w:szCs w:val="24"/>
        </w:rPr>
        <w:t>José Guadalupe Luna Hernández</w:t>
      </w:r>
      <w:r w:rsidR="002F5CAF">
        <w:rPr>
          <w:rFonts w:ascii="Palatino Linotype" w:hAnsi="Palatino Linotype" w:cs="Arial"/>
          <w:sz w:val="24"/>
          <w:szCs w:val="24"/>
        </w:rPr>
        <w:t xml:space="preserve"> respectivamente</w:t>
      </w:r>
      <w:r w:rsidRPr="00FE4693">
        <w:rPr>
          <w:rFonts w:ascii="Palatino Linotype" w:hAnsi="Palatino Linotype" w:cs="Arial"/>
          <w:sz w:val="24"/>
          <w:szCs w:val="24"/>
        </w:rPr>
        <w:t>, por medio del sistema electrónico en términos del arábigo 185 fracción I de la Ley de Transparencia y Acceso a la información Pública del Es</w:t>
      </w:r>
      <w:r w:rsidR="002F5CAF">
        <w:rPr>
          <w:rFonts w:ascii="Palatino Linotype" w:hAnsi="Palatino Linotype" w:cs="Arial"/>
          <w:sz w:val="24"/>
          <w:szCs w:val="24"/>
        </w:rPr>
        <w:t>tado de México y Municipios, de los</w:t>
      </w:r>
      <w:r w:rsidRPr="00FE4693">
        <w:rPr>
          <w:rFonts w:ascii="Palatino Linotype" w:hAnsi="Palatino Linotype" w:cs="Arial"/>
          <w:sz w:val="24"/>
          <w:szCs w:val="24"/>
        </w:rPr>
        <w:t xml:space="preserve"> cual</w:t>
      </w:r>
      <w:r w:rsidR="002F5CAF">
        <w:rPr>
          <w:rFonts w:ascii="Palatino Linotype" w:hAnsi="Palatino Linotype" w:cs="Arial"/>
          <w:sz w:val="24"/>
          <w:szCs w:val="24"/>
        </w:rPr>
        <w:t>es recayeron</w:t>
      </w:r>
      <w:r w:rsidRPr="00FE4693">
        <w:rPr>
          <w:rFonts w:ascii="Palatino Linotype" w:hAnsi="Palatino Linotype" w:cs="Arial"/>
          <w:sz w:val="24"/>
          <w:szCs w:val="24"/>
        </w:rPr>
        <w:t xml:space="preserve"> </w:t>
      </w:r>
      <w:r w:rsidR="002F5CAF">
        <w:rPr>
          <w:rFonts w:ascii="Palatino Linotype" w:hAnsi="Palatino Linotype" w:cs="Arial"/>
          <w:sz w:val="24"/>
          <w:szCs w:val="24"/>
        </w:rPr>
        <w:t xml:space="preserve">en </w:t>
      </w:r>
      <w:r w:rsidRPr="00FE4693">
        <w:rPr>
          <w:rFonts w:ascii="Palatino Linotype" w:hAnsi="Palatino Linotype" w:cs="Arial"/>
          <w:sz w:val="24"/>
          <w:szCs w:val="24"/>
        </w:rPr>
        <w:t>acuerdo</w:t>
      </w:r>
      <w:r>
        <w:rPr>
          <w:rFonts w:ascii="Palatino Linotype" w:hAnsi="Palatino Linotype" w:cs="Arial"/>
          <w:sz w:val="24"/>
          <w:szCs w:val="24"/>
        </w:rPr>
        <w:t xml:space="preserve"> de admisi</w:t>
      </w:r>
      <w:r w:rsidR="00D15261">
        <w:rPr>
          <w:rFonts w:ascii="Palatino Linotype" w:hAnsi="Palatino Linotype" w:cs="Arial"/>
          <w:sz w:val="24"/>
          <w:szCs w:val="24"/>
        </w:rPr>
        <w:t xml:space="preserve">ón en fecha </w:t>
      </w:r>
      <w:r w:rsidR="002F5CAF">
        <w:rPr>
          <w:rFonts w:ascii="Palatino Linotype" w:hAnsi="Palatino Linotype" w:cs="Arial"/>
          <w:sz w:val="24"/>
          <w:szCs w:val="24"/>
        </w:rPr>
        <w:t>veinte</w:t>
      </w:r>
      <w:r w:rsidR="00C04E8C">
        <w:rPr>
          <w:rFonts w:ascii="Palatino Linotype" w:hAnsi="Palatino Linotype" w:cs="Arial"/>
          <w:sz w:val="24"/>
          <w:szCs w:val="24"/>
        </w:rPr>
        <w:t xml:space="preserve"> </w:t>
      </w:r>
      <w:r w:rsidR="00E25D3E">
        <w:rPr>
          <w:rFonts w:ascii="Palatino Linotype" w:hAnsi="Palatino Linotype" w:cs="Arial"/>
          <w:sz w:val="24"/>
          <w:szCs w:val="24"/>
        </w:rPr>
        <w:t xml:space="preserve">de </w:t>
      </w:r>
      <w:r w:rsidR="002F5CAF">
        <w:rPr>
          <w:rFonts w:ascii="Palatino Linotype" w:hAnsi="Palatino Linotype" w:cs="Arial"/>
          <w:sz w:val="24"/>
          <w:szCs w:val="24"/>
        </w:rPr>
        <w:t>septiembre</w:t>
      </w:r>
      <w:r w:rsidR="00AA51D0">
        <w:rPr>
          <w:rFonts w:ascii="Palatino Linotype" w:hAnsi="Palatino Linotype" w:cs="Arial"/>
          <w:sz w:val="24"/>
          <w:szCs w:val="24"/>
        </w:rPr>
        <w:t xml:space="preserve"> </w:t>
      </w:r>
      <w:r w:rsidRPr="00FE4693">
        <w:rPr>
          <w:rFonts w:ascii="Palatino Linotype" w:hAnsi="Palatino Linotype" w:cs="Arial"/>
          <w:sz w:val="24"/>
          <w:szCs w:val="24"/>
        </w:rPr>
        <w:t>de dos mil dieciocho, determinándose en él, un plazo de siete días para que las partes manifestaran lo que a su derecho corresponda en términos del numeral ya citado.</w:t>
      </w:r>
    </w:p>
    <w:p w:rsidR="007A2CA1" w:rsidRDefault="007A2CA1" w:rsidP="007A2CA1">
      <w:pPr>
        <w:spacing w:before="240" w:line="360" w:lineRule="auto"/>
        <w:jc w:val="both"/>
        <w:rPr>
          <w:rFonts w:ascii="Palatino Linotype" w:hAnsi="Palatino Linotype" w:cs="Arial"/>
          <w:sz w:val="24"/>
          <w:szCs w:val="24"/>
        </w:rPr>
      </w:pPr>
    </w:p>
    <w:p w:rsidR="00777231" w:rsidRDefault="00777231" w:rsidP="0077723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Pr>
          <w:rFonts w:ascii="Palatino Linotype" w:hAnsi="Palatino Linotype" w:cs="Arial"/>
          <w:b/>
          <w:sz w:val="28"/>
          <w:szCs w:val="28"/>
        </w:rPr>
        <w:t>. De la acumulación.</w:t>
      </w:r>
    </w:p>
    <w:p w:rsidR="00777231" w:rsidRDefault="00777231" w:rsidP="00777231">
      <w:pPr>
        <w:pStyle w:val="Prrafodelista"/>
        <w:spacing w:line="360" w:lineRule="auto"/>
        <w:ind w:left="0"/>
        <w:jc w:val="both"/>
        <w:rPr>
          <w:rFonts w:ascii="Palatino Linotype" w:hAnsi="Palatino Linotype" w:cs="Arial"/>
          <w:b/>
          <w:bCs/>
          <w:lang w:eastAsia="es-MX"/>
        </w:rPr>
      </w:pPr>
      <w:r>
        <w:rPr>
          <w:rFonts w:ascii="Palatino Linotype" w:hAnsi="Palatino Linotype" w:cs="Arial"/>
        </w:rPr>
        <w:t>Posteriormente por acuerdo de</w:t>
      </w:r>
      <w:r w:rsidR="00F87B42">
        <w:rPr>
          <w:rFonts w:ascii="Palatino Linotype" w:hAnsi="Palatino Linotype" w:cs="Arial"/>
        </w:rPr>
        <w:t>l Pleno del Instituto, en la Cuadra</w:t>
      </w:r>
      <w:r>
        <w:rPr>
          <w:rFonts w:ascii="Palatino Linotype" w:hAnsi="Palatino Linotype" w:cs="Arial"/>
        </w:rPr>
        <w:t xml:space="preserve">gésima </w:t>
      </w:r>
      <w:r w:rsidR="00F87B42">
        <w:rPr>
          <w:rFonts w:ascii="Palatino Linotype" w:hAnsi="Palatino Linotype" w:cs="Arial"/>
        </w:rPr>
        <w:t>Quinta</w:t>
      </w:r>
      <w:r>
        <w:rPr>
          <w:rFonts w:ascii="Palatino Linotype" w:hAnsi="Palatino Linotype" w:cs="Arial"/>
        </w:rPr>
        <w:t xml:space="preserve"> Sesión Ordina</w:t>
      </w:r>
      <w:r w:rsidR="00F87B42">
        <w:rPr>
          <w:rFonts w:ascii="Palatino Linotype" w:hAnsi="Palatino Linotype" w:cs="Arial"/>
        </w:rPr>
        <w:t>ria de Pleno de fecha seis</w:t>
      </w:r>
      <w:r>
        <w:rPr>
          <w:rFonts w:ascii="Palatino Linotype" w:hAnsi="Palatino Linotype" w:cs="Arial"/>
        </w:rPr>
        <w:t xml:space="preserve"> de </w:t>
      </w:r>
      <w:r w:rsidR="00F87B42">
        <w:rPr>
          <w:rFonts w:ascii="Palatino Linotype" w:hAnsi="Palatino Linotype" w:cs="Arial"/>
        </w:rPr>
        <w:t>diciembre de dos mil dieciocho</w:t>
      </w:r>
      <w:r>
        <w:rPr>
          <w:rFonts w:ascii="Palatino Linotype" w:hAnsi="Palatino Linotype" w:cs="Arial"/>
        </w:rPr>
        <w:t xml:space="preserve">, se determinó acumular los recursos de revisión </w:t>
      </w:r>
      <w:r w:rsidR="00F87B42">
        <w:rPr>
          <w:rFonts w:ascii="Palatino Linotype" w:hAnsi="Palatino Linotype" w:cs="Arial"/>
          <w:b/>
          <w:bCs/>
          <w:lang w:eastAsia="es-MX"/>
        </w:rPr>
        <w:t>04425/INFOEM/IP/RR/2018 y 04448</w:t>
      </w:r>
      <w:r>
        <w:rPr>
          <w:rFonts w:ascii="Palatino Linotype" w:hAnsi="Palatino Linotype" w:cs="Arial"/>
          <w:b/>
          <w:bCs/>
          <w:lang w:eastAsia="es-MX"/>
        </w:rPr>
        <w:t>/INFOEM/IP/RR/2018.</w:t>
      </w:r>
    </w:p>
    <w:p w:rsidR="00F87B42" w:rsidRDefault="00F87B42" w:rsidP="00777231">
      <w:pPr>
        <w:pStyle w:val="Prrafodelista"/>
        <w:spacing w:line="360" w:lineRule="auto"/>
        <w:ind w:left="0"/>
        <w:jc w:val="both"/>
        <w:rPr>
          <w:rFonts w:ascii="Palatino Linotype" w:hAnsi="Palatino Linotype" w:cs="Arial"/>
        </w:rPr>
      </w:pPr>
    </w:p>
    <w:p w:rsidR="00777231" w:rsidRDefault="00777231" w:rsidP="00777231">
      <w:pPr>
        <w:spacing w:after="0" w:line="360" w:lineRule="auto"/>
        <w:jc w:val="both"/>
        <w:rPr>
          <w:rFonts w:ascii="Palatino Linotype" w:hAnsi="Palatino Linotype"/>
          <w:sz w:val="24"/>
          <w:szCs w:val="24"/>
        </w:rPr>
      </w:pPr>
      <w:r>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777231" w:rsidRDefault="00777231" w:rsidP="00777231">
      <w:pPr>
        <w:spacing w:after="0" w:line="360" w:lineRule="auto"/>
        <w:jc w:val="both"/>
        <w:rPr>
          <w:rFonts w:ascii="Palatino Linotype" w:hAnsi="Palatino Linotype"/>
          <w:sz w:val="24"/>
          <w:szCs w:val="24"/>
        </w:rPr>
      </w:pPr>
    </w:p>
    <w:p w:rsidR="00777231" w:rsidRPr="002A4330" w:rsidRDefault="00777231" w:rsidP="00777231">
      <w:pPr>
        <w:spacing w:afterLines="160" w:after="384" w:line="240" w:lineRule="auto"/>
        <w:ind w:leftChars="386" w:left="849" w:rightChars="386" w:right="849" w:firstLine="28"/>
        <w:jc w:val="both"/>
        <w:rPr>
          <w:rFonts w:ascii="Palatino Linotype" w:hAnsi="Palatino Linotype"/>
          <w:i/>
          <w:szCs w:val="24"/>
        </w:rPr>
      </w:pPr>
      <w:r w:rsidRPr="002A4330">
        <w:rPr>
          <w:rFonts w:ascii="Palatino Linotype" w:hAnsi="Palatino Linotype"/>
          <w:i/>
          <w:szCs w:val="24"/>
        </w:rPr>
        <w:t>“</w:t>
      </w:r>
      <w:r w:rsidRPr="002A4330">
        <w:rPr>
          <w:rFonts w:ascii="Palatino Linotype" w:hAnsi="Palatino Linotype"/>
          <w:b/>
          <w:i/>
          <w:szCs w:val="24"/>
        </w:rPr>
        <w:t>Artículo 195.</w:t>
      </w:r>
      <w:r w:rsidRPr="002A4330">
        <w:rPr>
          <w:rFonts w:ascii="Palatino Linotype" w:hAnsi="Palatino Linotype"/>
          <w:i/>
          <w:szCs w:val="24"/>
        </w:rPr>
        <w:t xml:space="preserve"> En la tramitación del recurso de revisión se aplicarán supletoriamente las disposiciones contenidas en el </w:t>
      </w:r>
      <w:r w:rsidRPr="002A4330">
        <w:rPr>
          <w:rFonts w:ascii="Palatino Linotype" w:hAnsi="Palatino Linotype"/>
          <w:b/>
          <w:i/>
          <w:szCs w:val="24"/>
          <w:u w:val="single"/>
        </w:rPr>
        <w:t>Código de Procedimientos Administrativos del Estado de México</w:t>
      </w:r>
      <w:r w:rsidRPr="002A4330">
        <w:rPr>
          <w:rFonts w:ascii="Palatino Linotype" w:hAnsi="Palatino Linotype"/>
          <w:i/>
          <w:szCs w:val="24"/>
        </w:rPr>
        <w:t>.”</w:t>
      </w:r>
    </w:p>
    <w:p w:rsidR="00777231" w:rsidRPr="002A4330" w:rsidRDefault="00777231" w:rsidP="00777231">
      <w:pPr>
        <w:spacing w:afterLines="160" w:after="384" w:line="240" w:lineRule="auto"/>
        <w:ind w:leftChars="386" w:left="849" w:rightChars="386" w:right="849" w:firstLine="28"/>
        <w:jc w:val="both"/>
        <w:rPr>
          <w:rFonts w:ascii="Palatino Linotype" w:hAnsi="Palatino Linotype"/>
          <w:b/>
          <w:i/>
          <w:szCs w:val="24"/>
        </w:rPr>
      </w:pPr>
      <w:r w:rsidRPr="002A4330">
        <w:rPr>
          <w:rFonts w:ascii="Palatino Linotype" w:hAnsi="Palatino Linotype"/>
          <w:i/>
          <w:szCs w:val="24"/>
        </w:rPr>
        <w:t>“</w:t>
      </w:r>
      <w:r w:rsidRPr="002A4330">
        <w:rPr>
          <w:rFonts w:ascii="Palatino Linotype" w:hAnsi="Palatino Linotype"/>
          <w:b/>
          <w:i/>
          <w:szCs w:val="24"/>
        </w:rPr>
        <w:t>Artículo 18.-</w:t>
      </w:r>
      <w:r w:rsidRPr="002A4330">
        <w:rPr>
          <w:rFonts w:ascii="Palatino Linotype" w:hAnsi="Palatino Linotype"/>
          <w:i/>
          <w:szCs w:val="24"/>
        </w:rPr>
        <w:t xml:space="preserve"> </w:t>
      </w:r>
      <w:r w:rsidRPr="002A4330">
        <w:rPr>
          <w:rFonts w:ascii="Palatino Linotype" w:hAnsi="Palatino Linotype"/>
          <w:b/>
          <w:i/>
          <w:szCs w:val="24"/>
          <w:u w:val="single"/>
        </w:rPr>
        <w:t>La autoridad administrativa</w:t>
      </w:r>
      <w:r w:rsidRPr="002A4330">
        <w:rPr>
          <w:rFonts w:ascii="Palatino Linotype" w:hAnsi="Palatino Linotype"/>
          <w:i/>
          <w:szCs w:val="24"/>
        </w:rPr>
        <w:t xml:space="preserve"> o el Tribunal </w:t>
      </w:r>
      <w:r w:rsidRPr="002A4330">
        <w:rPr>
          <w:rFonts w:ascii="Palatino Linotype" w:hAnsi="Palatino Linotype"/>
          <w:b/>
          <w:i/>
          <w:szCs w:val="24"/>
          <w:u w:val="single"/>
        </w:rPr>
        <w:t>acordarán la acumulación</w:t>
      </w:r>
      <w:r w:rsidRPr="002A4330">
        <w:rPr>
          <w:rFonts w:ascii="Palatino Linotype" w:hAnsi="Palatino Linotype"/>
          <w:i/>
          <w:szCs w:val="24"/>
        </w:rPr>
        <w:t xml:space="preserve"> de los expedientes del procedimiento y proceso administrativo que ante ellos se sigan</w:t>
      </w:r>
      <w:r w:rsidRPr="002A4330">
        <w:rPr>
          <w:rFonts w:ascii="Palatino Linotype" w:hAnsi="Palatino Linotype"/>
          <w:b/>
          <w:i/>
          <w:szCs w:val="24"/>
          <w:u w:val="single"/>
        </w:rPr>
        <w:t>, de oficio</w:t>
      </w:r>
      <w:r w:rsidRPr="002A4330">
        <w:rPr>
          <w:rFonts w:ascii="Palatino Linotype" w:hAnsi="Palatino Linotype"/>
          <w:i/>
          <w:szCs w:val="24"/>
        </w:rPr>
        <w:t xml:space="preserve"> o a petición de parte, </w:t>
      </w:r>
      <w:r w:rsidRPr="002A4330">
        <w:rPr>
          <w:rFonts w:ascii="Palatino Linotype" w:hAnsi="Palatino Linotype"/>
          <w:b/>
          <w:i/>
          <w:szCs w:val="24"/>
          <w:u w:val="single"/>
        </w:rPr>
        <w:t>cuando las partes o los actos administrativos sean iguales, se trate de actos conexos o resulte conveniente el trámite unificado de los asuntos</w:t>
      </w:r>
      <w:r w:rsidRPr="002A4330">
        <w:rPr>
          <w:rFonts w:ascii="Palatino Linotype" w:hAnsi="Palatino Linotype"/>
          <w:i/>
          <w:szCs w:val="24"/>
        </w:rPr>
        <w:t>, para evitar la emisión de resoluciones contradictorias. La misma regla se aplicará, en lo conducente, para la separación de los expedientes.”</w:t>
      </w:r>
      <w:r w:rsidRPr="002A4330">
        <w:rPr>
          <w:rFonts w:ascii="Palatino Linotype" w:hAnsi="Palatino Linotype"/>
          <w:b/>
          <w:i/>
          <w:szCs w:val="24"/>
        </w:rPr>
        <w:t>[Sic]</w:t>
      </w:r>
    </w:p>
    <w:p w:rsidR="00777231" w:rsidRPr="007A2CA1" w:rsidRDefault="00777231" w:rsidP="007A2CA1">
      <w:pPr>
        <w:spacing w:before="240" w:line="360" w:lineRule="auto"/>
        <w:jc w:val="both"/>
        <w:rPr>
          <w:rFonts w:ascii="Palatino Linotype" w:hAnsi="Palatino Linotype" w:cs="Arial"/>
          <w:sz w:val="24"/>
          <w:szCs w:val="24"/>
        </w:rPr>
      </w:pPr>
    </w:p>
    <w:p w:rsidR="00E3099C" w:rsidRDefault="00777231" w:rsidP="00E3099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rsidR="00071B10" w:rsidRPr="0014307A" w:rsidRDefault="00E3099C" w:rsidP="00E3099C">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 el sujeto o</w:t>
      </w:r>
      <w:r>
        <w:rPr>
          <w:rFonts w:ascii="Palatino Linotype" w:hAnsi="Palatino Linotype" w:cs="Arial"/>
          <w:sz w:val="24"/>
          <w:szCs w:val="24"/>
        </w:rPr>
        <w:t>b</w:t>
      </w:r>
      <w:r w:rsidR="00B55585">
        <w:rPr>
          <w:rFonts w:ascii="Palatino Linotype" w:hAnsi="Palatino Linotype" w:cs="Arial"/>
          <w:sz w:val="24"/>
          <w:szCs w:val="24"/>
        </w:rPr>
        <w:t xml:space="preserve">ligado </w:t>
      </w:r>
      <w:r w:rsidR="007B1E41">
        <w:rPr>
          <w:rFonts w:ascii="Palatino Linotype" w:hAnsi="Palatino Linotype" w:cs="Arial"/>
          <w:sz w:val="24"/>
          <w:szCs w:val="24"/>
        </w:rPr>
        <w:t>en fecha once de diciembre</w:t>
      </w:r>
      <w:r w:rsidR="008562B4">
        <w:rPr>
          <w:rFonts w:ascii="Palatino Linotype" w:hAnsi="Palatino Linotype" w:cs="Arial"/>
          <w:sz w:val="24"/>
          <w:szCs w:val="24"/>
        </w:rPr>
        <w:t xml:space="preserve"> </w:t>
      </w:r>
      <w:r w:rsidR="00FE4693">
        <w:rPr>
          <w:rFonts w:ascii="Palatino Linotype" w:hAnsi="Palatino Linotype" w:cs="Arial"/>
          <w:sz w:val="24"/>
          <w:szCs w:val="24"/>
        </w:rPr>
        <w:t>dos mil dieciocho</w:t>
      </w:r>
      <w:r w:rsidR="00E77373">
        <w:rPr>
          <w:rFonts w:ascii="Palatino Linotype" w:hAnsi="Palatino Linotype" w:cs="Arial"/>
          <w:sz w:val="24"/>
          <w:szCs w:val="24"/>
        </w:rPr>
        <w:t xml:space="preserve">, adjuntó </w:t>
      </w:r>
      <w:r w:rsidR="0056101D">
        <w:rPr>
          <w:rFonts w:ascii="Palatino Linotype" w:hAnsi="Palatino Linotype" w:cs="Arial"/>
          <w:sz w:val="24"/>
          <w:szCs w:val="24"/>
        </w:rPr>
        <w:t>a la etapa de</w:t>
      </w:r>
      <w:r w:rsidR="008562B4">
        <w:rPr>
          <w:rFonts w:ascii="Palatino Linotype" w:hAnsi="Palatino Linotype" w:cs="Arial"/>
          <w:sz w:val="24"/>
          <w:szCs w:val="24"/>
        </w:rPr>
        <w:t xml:space="preserve"> manifestaciones</w:t>
      </w:r>
      <w:r w:rsidR="00C76253">
        <w:rPr>
          <w:rFonts w:ascii="Palatino Linotype" w:hAnsi="Palatino Linotype" w:cs="Arial"/>
          <w:sz w:val="24"/>
          <w:szCs w:val="24"/>
        </w:rPr>
        <w:t xml:space="preserve"> en ambos recursos de revisión </w:t>
      </w:r>
      <w:r w:rsidR="008562B4">
        <w:rPr>
          <w:rFonts w:ascii="Palatino Linotype" w:hAnsi="Palatino Linotype" w:cs="Arial"/>
          <w:sz w:val="24"/>
          <w:szCs w:val="24"/>
        </w:rPr>
        <w:t>el informe justificado correspondiente</w:t>
      </w:r>
      <w:r w:rsidR="00C76253">
        <w:rPr>
          <w:rFonts w:ascii="Palatino Linotype" w:hAnsi="Palatino Linotype" w:cs="Arial"/>
          <w:sz w:val="24"/>
          <w:szCs w:val="24"/>
        </w:rPr>
        <w:t>,</w:t>
      </w:r>
      <w:r w:rsidR="009B1BD3">
        <w:rPr>
          <w:rFonts w:ascii="Palatino Linotype" w:hAnsi="Palatino Linotype" w:cs="Arial"/>
          <w:sz w:val="24"/>
          <w:szCs w:val="24"/>
        </w:rPr>
        <w:t xml:space="preserve"> </w:t>
      </w:r>
      <w:r w:rsidR="00C76253">
        <w:rPr>
          <w:rFonts w:ascii="Palatino Linotype" w:hAnsi="Palatino Linotype" w:cs="Arial"/>
          <w:sz w:val="24"/>
          <w:szCs w:val="24"/>
        </w:rPr>
        <w:t>dichos informes fueron</w:t>
      </w:r>
      <w:r w:rsidR="00D15261">
        <w:rPr>
          <w:rFonts w:ascii="Palatino Linotype" w:hAnsi="Palatino Linotype" w:cs="Arial"/>
          <w:sz w:val="24"/>
          <w:szCs w:val="24"/>
        </w:rPr>
        <w:t xml:space="preserve"> puesto</w:t>
      </w:r>
      <w:r w:rsidR="00C76253">
        <w:rPr>
          <w:rFonts w:ascii="Palatino Linotype" w:hAnsi="Palatino Linotype" w:cs="Arial"/>
          <w:sz w:val="24"/>
          <w:szCs w:val="24"/>
        </w:rPr>
        <w:t>s a la vista de la</w:t>
      </w:r>
      <w:r w:rsidR="00D15261">
        <w:rPr>
          <w:rFonts w:ascii="Palatino Linotype" w:hAnsi="Palatino Linotype" w:cs="Arial"/>
          <w:sz w:val="24"/>
          <w:szCs w:val="24"/>
        </w:rPr>
        <w:t xml:space="preserve"> recurrente</w:t>
      </w:r>
      <w:r w:rsidR="00C04E8C">
        <w:rPr>
          <w:rFonts w:ascii="Palatino Linotype" w:hAnsi="Palatino Linotype" w:cs="Arial"/>
          <w:sz w:val="24"/>
          <w:szCs w:val="24"/>
        </w:rPr>
        <w:t xml:space="preserve"> a efecto de dar certeza jurídica al recurrente sobre las actuaciones que obran en dicho</w:t>
      </w:r>
      <w:r w:rsidR="00C76253">
        <w:rPr>
          <w:rFonts w:ascii="Palatino Linotype" w:hAnsi="Palatino Linotype" w:cs="Arial"/>
          <w:sz w:val="24"/>
          <w:szCs w:val="24"/>
        </w:rPr>
        <w:t>s</w:t>
      </w:r>
      <w:r w:rsidR="00C04E8C">
        <w:rPr>
          <w:rFonts w:ascii="Palatino Linotype" w:hAnsi="Palatino Linotype" w:cs="Arial"/>
          <w:sz w:val="24"/>
          <w:szCs w:val="24"/>
        </w:rPr>
        <w:t xml:space="preserve"> expediente</w:t>
      </w:r>
      <w:r w:rsidR="00C76253">
        <w:rPr>
          <w:rFonts w:ascii="Palatino Linotype" w:hAnsi="Palatino Linotype" w:cs="Arial"/>
          <w:sz w:val="24"/>
          <w:szCs w:val="24"/>
        </w:rPr>
        <w:t>s</w:t>
      </w:r>
      <w:r w:rsidR="00D15261">
        <w:rPr>
          <w:rFonts w:ascii="Palatino Linotype" w:hAnsi="Palatino Linotype" w:cs="Arial"/>
          <w:sz w:val="24"/>
          <w:szCs w:val="24"/>
        </w:rPr>
        <w:t xml:space="preserve">, </w:t>
      </w:r>
      <w:r w:rsidR="00111643">
        <w:rPr>
          <w:rFonts w:ascii="Palatino Linotype" w:hAnsi="Palatino Linotype" w:cs="Arial"/>
          <w:sz w:val="24"/>
          <w:szCs w:val="24"/>
        </w:rPr>
        <w:t>asimism</w:t>
      </w:r>
      <w:r w:rsidR="00F7456A">
        <w:rPr>
          <w:rFonts w:ascii="Palatino Linotype" w:hAnsi="Palatino Linotype" w:cs="Arial"/>
          <w:sz w:val="24"/>
          <w:szCs w:val="24"/>
        </w:rPr>
        <w:t xml:space="preserve">o </w:t>
      </w:r>
      <w:r w:rsidR="00C5342D">
        <w:rPr>
          <w:rFonts w:ascii="Palatino Linotype" w:hAnsi="Palatino Linotype" w:cs="Arial"/>
          <w:sz w:val="24"/>
          <w:szCs w:val="24"/>
        </w:rPr>
        <w:t xml:space="preserve">se advierte </w:t>
      </w:r>
      <w:r w:rsidR="0056101D">
        <w:rPr>
          <w:rFonts w:ascii="Palatino Linotype" w:hAnsi="Palatino Linotype" w:cs="Arial"/>
          <w:sz w:val="24"/>
          <w:szCs w:val="24"/>
        </w:rPr>
        <w:t>que el</w:t>
      </w:r>
      <w:r w:rsidR="00C5342D">
        <w:rPr>
          <w:rFonts w:ascii="Palatino Linotype" w:hAnsi="Palatino Linotype" w:cs="Arial"/>
          <w:sz w:val="24"/>
          <w:szCs w:val="24"/>
        </w:rPr>
        <w:t xml:space="preserve"> </w:t>
      </w:r>
      <w:r w:rsidR="00CB1CC6">
        <w:rPr>
          <w:rFonts w:ascii="Palatino Linotype" w:hAnsi="Palatino Linotype" w:cs="Arial"/>
          <w:sz w:val="24"/>
          <w:szCs w:val="24"/>
        </w:rPr>
        <w:t>recurrente</w:t>
      </w:r>
      <w:r w:rsidR="008B0427">
        <w:rPr>
          <w:rFonts w:ascii="Palatino Linotype" w:hAnsi="Palatino Linotype" w:cs="Arial"/>
          <w:sz w:val="24"/>
          <w:szCs w:val="24"/>
        </w:rPr>
        <w:t xml:space="preserve"> no realizó manifestaciones</w:t>
      </w:r>
      <w:r w:rsidR="0056101D">
        <w:rPr>
          <w:rFonts w:ascii="Palatino Linotype" w:hAnsi="Palatino Linotype" w:cs="Arial"/>
          <w:sz w:val="24"/>
          <w:szCs w:val="24"/>
        </w:rPr>
        <w:t>,</w:t>
      </w:r>
      <w:r w:rsidR="0056101D" w:rsidRPr="0056101D">
        <w:rPr>
          <w:rFonts w:ascii="Palatino Linotype" w:hAnsi="Palatino Linotype" w:cs="Arial"/>
          <w:sz w:val="24"/>
          <w:szCs w:val="24"/>
        </w:rPr>
        <w:t xml:space="preserve"> </w:t>
      </w:r>
      <w:r w:rsidR="00111643">
        <w:rPr>
          <w:rFonts w:ascii="Palatino Linotype" w:hAnsi="Palatino Linotype" w:cs="Arial"/>
          <w:sz w:val="24"/>
          <w:szCs w:val="24"/>
        </w:rPr>
        <w:t xml:space="preserve">de igual modo se aprecia del expediente electrónico SAIMEX, que no se llevaron a acabo audiencias ni </w:t>
      </w:r>
      <w:r w:rsidR="007836DD">
        <w:rPr>
          <w:rFonts w:ascii="Palatino Linotype" w:hAnsi="Palatino Linotype" w:cs="Arial"/>
          <w:sz w:val="24"/>
          <w:szCs w:val="24"/>
        </w:rPr>
        <w:t>diligencia</w:t>
      </w:r>
      <w:r w:rsidR="00111643">
        <w:rPr>
          <w:rFonts w:ascii="Palatino Linotype" w:hAnsi="Palatino Linotype" w:cs="Arial"/>
          <w:sz w:val="24"/>
          <w:szCs w:val="24"/>
        </w:rPr>
        <w:t xml:space="preserve"> alguna.</w:t>
      </w:r>
    </w:p>
    <w:p w:rsidR="009B1BD3" w:rsidRPr="008B0427" w:rsidRDefault="00D15261" w:rsidP="000422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w:t>
      </w:r>
      <w:r w:rsidR="00C76253">
        <w:rPr>
          <w:rFonts w:ascii="Palatino Linotype" w:hAnsi="Palatino Linotype" w:cs="Arial"/>
          <w:sz w:val="24"/>
          <w:szCs w:val="24"/>
        </w:rPr>
        <w:t xml:space="preserve">se decretaron los cierres de instrucción </w:t>
      </w:r>
      <w:r w:rsidR="006C69A3">
        <w:rPr>
          <w:rFonts w:ascii="Palatino Linotype" w:hAnsi="Palatino Linotype" w:cs="Arial"/>
          <w:sz w:val="24"/>
          <w:szCs w:val="24"/>
        </w:rPr>
        <w:t>m</w:t>
      </w:r>
      <w:r w:rsidR="007836DD">
        <w:rPr>
          <w:rFonts w:ascii="Palatino Linotype" w:hAnsi="Palatino Linotype" w:cs="Arial"/>
          <w:sz w:val="24"/>
          <w:szCs w:val="24"/>
        </w:rPr>
        <w:t>edi</w:t>
      </w:r>
      <w:r w:rsidR="00071B10">
        <w:rPr>
          <w:rFonts w:ascii="Palatino Linotype" w:hAnsi="Palatino Linotype" w:cs="Arial"/>
          <w:sz w:val="24"/>
          <w:szCs w:val="24"/>
        </w:rPr>
        <w:t>ante pr</w:t>
      </w:r>
      <w:r w:rsidR="00C04E8C">
        <w:rPr>
          <w:rFonts w:ascii="Palatino Linotype" w:hAnsi="Palatino Linotype" w:cs="Arial"/>
          <w:sz w:val="24"/>
          <w:szCs w:val="24"/>
        </w:rPr>
        <w:t>oveído</w:t>
      </w:r>
      <w:r w:rsidR="00C76253">
        <w:rPr>
          <w:rFonts w:ascii="Palatino Linotype" w:hAnsi="Palatino Linotype" w:cs="Arial"/>
          <w:sz w:val="24"/>
          <w:szCs w:val="24"/>
        </w:rPr>
        <w:t>s</w:t>
      </w:r>
      <w:r w:rsidR="00C04E8C">
        <w:rPr>
          <w:rFonts w:ascii="Palatino Linotype" w:hAnsi="Palatino Linotype" w:cs="Arial"/>
          <w:sz w:val="24"/>
          <w:szCs w:val="24"/>
        </w:rPr>
        <w:t xml:space="preserve"> de </w:t>
      </w:r>
      <w:r w:rsidR="007B1E41">
        <w:rPr>
          <w:rFonts w:ascii="Palatino Linotype" w:hAnsi="Palatino Linotype" w:cs="Arial"/>
          <w:sz w:val="24"/>
          <w:szCs w:val="24"/>
        </w:rPr>
        <w:t xml:space="preserve">fecha dieciséis </w:t>
      </w:r>
      <w:r w:rsidR="00C04E8C">
        <w:rPr>
          <w:rFonts w:ascii="Palatino Linotype" w:hAnsi="Palatino Linotype" w:cs="Arial"/>
          <w:sz w:val="24"/>
          <w:szCs w:val="24"/>
        </w:rPr>
        <w:t xml:space="preserve"> </w:t>
      </w:r>
      <w:r>
        <w:rPr>
          <w:rFonts w:ascii="Palatino Linotype" w:hAnsi="Palatino Linotype" w:cs="Arial"/>
          <w:sz w:val="24"/>
          <w:szCs w:val="24"/>
        </w:rPr>
        <w:t xml:space="preserve">de </w:t>
      </w:r>
      <w:r w:rsidR="007B1E41">
        <w:rPr>
          <w:rFonts w:ascii="Palatino Linotype" w:hAnsi="Palatino Linotype" w:cs="Arial"/>
          <w:sz w:val="24"/>
          <w:szCs w:val="24"/>
        </w:rPr>
        <w:t>enero</w:t>
      </w:r>
      <w:r w:rsidR="008B0427">
        <w:rPr>
          <w:rFonts w:ascii="Palatino Linotype" w:hAnsi="Palatino Linotype" w:cs="Arial"/>
          <w:sz w:val="24"/>
          <w:szCs w:val="24"/>
        </w:rPr>
        <w:t xml:space="preserve"> </w:t>
      </w:r>
      <w:r w:rsidR="007836DD">
        <w:rPr>
          <w:rFonts w:ascii="Palatino Linotype" w:hAnsi="Palatino Linotype" w:cs="Arial"/>
          <w:sz w:val="24"/>
          <w:szCs w:val="24"/>
        </w:rPr>
        <w:t>de dos mil dieciocho</w:t>
      </w:r>
      <w:r w:rsidR="00E3099C">
        <w:rPr>
          <w:rFonts w:ascii="Palatino Linotype" w:hAnsi="Palatino Linotype" w:cs="Arial"/>
          <w:sz w:val="24"/>
          <w:szCs w:val="24"/>
        </w:rPr>
        <w:t>.</w:t>
      </w:r>
    </w:p>
    <w:p w:rsidR="009B1BD3" w:rsidRDefault="009B1BD3" w:rsidP="00042285">
      <w:pPr>
        <w:spacing w:before="240" w:line="360" w:lineRule="auto"/>
        <w:jc w:val="both"/>
        <w:rPr>
          <w:rFonts w:ascii="Palatino Linotype" w:hAnsi="Palatino Linotype" w:cs="Arial"/>
          <w:b/>
          <w:sz w:val="28"/>
        </w:rPr>
      </w:pPr>
    </w:p>
    <w:p w:rsidR="00042285" w:rsidRDefault="00777231" w:rsidP="00042285">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SÉPTIMO</w:t>
      </w:r>
      <w:r w:rsidR="00042285" w:rsidRPr="008551ED">
        <w:rPr>
          <w:rFonts w:ascii="Palatino Linotype" w:hAnsi="Palatino Linotype" w:cs="Arial"/>
          <w:b/>
          <w:sz w:val="24"/>
          <w:szCs w:val="24"/>
        </w:rPr>
        <w:t>.</w:t>
      </w:r>
      <w:r w:rsidR="00042285">
        <w:rPr>
          <w:rFonts w:ascii="Palatino Linotype" w:hAnsi="Palatino Linotype" w:cs="Arial"/>
          <w:b/>
          <w:sz w:val="24"/>
          <w:szCs w:val="24"/>
        </w:rPr>
        <w:t xml:space="preserve"> </w:t>
      </w:r>
      <w:r w:rsidR="00042285">
        <w:rPr>
          <w:rFonts w:ascii="Palatino Linotype" w:hAnsi="Palatino Linotype" w:cs="Arial"/>
          <w:b/>
          <w:sz w:val="28"/>
          <w:szCs w:val="28"/>
        </w:rPr>
        <w:t>De la ampliación del término para resolver.</w:t>
      </w:r>
    </w:p>
    <w:p w:rsidR="00042285" w:rsidRDefault="00C04E8C" w:rsidP="00E3099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973AB2">
        <w:rPr>
          <w:rFonts w:ascii="Palatino Linotype" w:hAnsi="Palatino Linotype" w:cs="Arial"/>
          <w:sz w:val="24"/>
          <w:szCs w:val="24"/>
        </w:rPr>
        <w:t>veintinueve</w:t>
      </w:r>
      <w:r w:rsidR="00D15261" w:rsidRPr="00C21F90">
        <w:rPr>
          <w:rFonts w:ascii="Palatino Linotype" w:hAnsi="Palatino Linotype" w:cs="Arial"/>
          <w:sz w:val="24"/>
          <w:szCs w:val="24"/>
        </w:rPr>
        <w:t xml:space="preserve"> de </w:t>
      </w:r>
      <w:r w:rsidR="00973AB2">
        <w:rPr>
          <w:rFonts w:ascii="Palatino Linotype" w:hAnsi="Palatino Linotype" w:cs="Arial"/>
          <w:sz w:val="24"/>
          <w:szCs w:val="24"/>
        </w:rPr>
        <w:t>enero</w:t>
      </w:r>
      <w:r w:rsidR="00042285" w:rsidRPr="00C21F90">
        <w:rPr>
          <w:rFonts w:ascii="Palatino Linotype" w:hAnsi="Palatino Linotype" w:cs="Arial"/>
          <w:sz w:val="24"/>
          <w:szCs w:val="24"/>
        </w:rPr>
        <w:t xml:space="preserve"> de dos mil dieciocho</w:t>
      </w:r>
      <w:r w:rsidR="00C21F90">
        <w:rPr>
          <w:rFonts w:ascii="Palatino Linotype" w:hAnsi="Palatino Linotype" w:cs="Arial"/>
          <w:sz w:val="24"/>
          <w:szCs w:val="24"/>
        </w:rPr>
        <w:t>, se ampliaron los términos</w:t>
      </w:r>
      <w:r w:rsidR="00042285">
        <w:rPr>
          <w:rFonts w:ascii="Palatino Linotype" w:hAnsi="Palatino Linotype" w:cs="Arial"/>
          <w:sz w:val="24"/>
          <w:szCs w:val="24"/>
        </w:rPr>
        <w:t xml:space="preserve"> para </w:t>
      </w:r>
      <w:r w:rsidR="00C21F90">
        <w:rPr>
          <w:rFonts w:ascii="Palatino Linotype" w:hAnsi="Palatino Linotype" w:cs="Arial"/>
          <w:sz w:val="24"/>
          <w:szCs w:val="24"/>
        </w:rPr>
        <w:t>resolver los</w:t>
      </w:r>
      <w:r w:rsidR="00042285">
        <w:rPr>
          <w:rFonts w:ascii="Palatino Linotype" w:hAnsi="Palatino Linotype" w:cs="Arial"/>
          <w:sz w:val="24"/>
          <w:szCs w:val="24"/>
        </w:rPr>
        <w:t xml:space="preserve"> recurso</w:t>
      </w:r>
      <w:r w:rsidR="00C21F90">
        <w:rPr>
          <w:rFonts w:ascii="Palatino Linotype" w:hAnsi="Palatino Linotype" w:cs="Arial"/>
          <w:sz w:val="24"/>
          <w:szCs w:val="24"/>
        </w:rPr>
        <w:t>s</w:t>
      </w:r>
      <w:r w:rsidR="00042285">
        <w:rPr>
          <w:rFonts w:ascii="Palatino Linotype" w:hAnsi="Palatino Linotype" w:cs="Arial"/>
          <w:sz w:val="24"/>
          <w:szCs w:val="24"/>
        </w:rPr>
        <w:t xml:space="preserve"> de revisión en términos del artículo 181 párrafo tercero de la Ley de Transparencia y Acceso a la Información Pública del Estado de México y Municipios por un plazo de quince días hábiles.</w:t>
      </w:r>
    </w:p>
    <w:p w:rsidR="00B52B70" w:rsidRDefault="00B52B70" w:rsidP="00E3099C">
      <w:pPr>
        <w:spacing w:before="240" w:line="360" w:lineRule="auto"/>
        <w:jc w:val="center"/>
        <w:rPr>
          <w:rFonts w:ascii="Palatino Linotype" w:hAnsi="Palatino Linotype" w:cs="Arial"/>
          <w:b/>
          <w:sz w:val="28"/>
          <w:szCs w:val="28"/>
        </w:rPr>
      </w:pPr>
    </w:p>
    <w:p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77373" w:rsidRPr="00E77373">
        <w:rPr>
          <w:rFonts w:ascii="Palatino Linotype" w:hAnsi="Palatino Linotype" w:cs="Arial"/>
          <w:sz w:val="24"/>
        </w:rPr>
        <w:t>la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B52B70" w:rsidRPr="00B52B70" w:rsidRDefault="00B52B70" w:rsidP="00A35D1D">
      <w:pPr>
        <w:spacing w:before="240" w:line="360" w:lineRule="auto"/>
        <w:jc w:val="both"/>
        <w:rPr>
          <w:rFonts w:ascii="Palatino Linotype" w:hAnsi="Palatino Linotype" w:cs="Arial"/>
          <w:sz w:val="24"/>
        </w:rPr>
      </w:pP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debe ser objeto de análisis previo al estudio de fondo del asunto; presupuestos procesales de inicio o trámite de un proceso, dotando de seguridad jurídica las resoluciones, máxime que se </w:t>
      </w:r>
      <w:r>
        <w:rPr>
          <w:rFonts w:ascii="Palatino Linotype" w:hAnsi="Palatino Linotype" w:cs="Arial"/>
        </w:rPr>
        <w:lastRenderedPageBreak/>
        <w:t>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C5342D">
        <w:rPr>
          <w:rFonts w:ascii="Palatino Linotype" w:hAnsi="Palatino Linotype"/>
        </w:rPr>
        <w:t>onsiderando lo requerido por la</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B6649" w:rsidRDefault="002B6649" w:rsidP="002B6649">
      <w:pPr>
        <w:ind w:right="850"/>
        <w:jc w:val="both"/>
        <w:rPr>
          <w:rFonts w:ascii="Palatino Linotype" w:hAnsi="Palatino Linotype" w:cs="Arial"/>
          <w:i/>
        </w:rPr>
      </w:pPr>
    </w:p>
    <w:p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2B6649" w:rsidRPr="009D787B" w:rsidRDefault="002B6649" w:rsidP="002B6649">
      <w:pPr>
        <w:spacing w:before="240" w:after="240" w:line="360" w:lineRule="auto"/>
        <w:jc w:val="both"/>
        <w:rPr>
          <w:rFonts w:ascii="Palatino Linotype" w:hAnsi="Palatino Linotype" w:cs="Arial"/>
          <w:sz w:val="24"/>
          <w:szCs w:val="24"/>
        </w:rPr>
      </w:pPr>
    </w:p>
    <w:p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lastRenderedPageBreak/>
        <w:t xml:space="preserve">Resulta indispensable referir que el derecho de acceso a la información pública implica que cualquier persona pueda acceder y conocer la información contenida en los documentos que se encuentran en posesión de los Sujetos Obligados. </w:t>
      </w:r>
    </w:p>
    <w:p w:rsidR="002B6649" w:rsidRPr="009D787B" w:rsidRDefault="002B6649" w:rsidP="002B6649">
      <w:pPr>
        <w:spacing w:before="240" w:after="240" w:line="360" w:lineRule="auto"/>
        <w:jc w:val="both"/>
        <w:rPr>
          <w:rFonts w:ascii="Palatino Linotype" w:hAnsi="Palatino Linotype" w:cs="Arial"/>
          <w:sz w:val="24"/>
          <w:szCs w:val="24"/>
        </w:rPr>
      </w:pPr>
    </w:p>
    <w:p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lastRenderedPageBreak/>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lastRenderedPageBreak/>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rsidR="002B6649" w:rsidRPr="00382AD8" w:rsidRDefault="002B6649" w:rsidP="002B6649">
      <w:pPr>
        <w:spacing w:after="0" w:line="360" w:lineRule="auto"/>
        <w:ind w:left="851" w:right="851"/>
        <w:jc w:val="both"/>
        <w:rPr>
          <w:rFonts w:ascii="Palatino Linotype" w:hAnsi="Palatino Linotype" w:cs="Arial"/>
          <w:i/>
          <w:color w:val="000000" w:themeColor="text1"/>
        </w:rPr>
      </w:pPr>
    </w:p>
    <w:p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2B6649" w:rsidRDefault="002B6649" w:rsidP="002B6649">
      <w:pPr>
        <w:spacing w:after="0" w:line="360" w:lineRule="auto"/>
        <w:jc w:val="both"/>
        <w:rPr>
          <w:rFonts w:ascii="Palatino Linotype" w:hAnsi="Palatino Linotype" w:cs="Arial"/>
          <w:color w:val="000000" w:themeColor="text1"/>
          <w:sz w:val="24"/>
          <w:szCs w:val="24"/>
        </w:rPr>
      </w:pPr>
    </w:p>
    <w:p w:rsidR="00A03D00" w:rsidRDefault="00A7160D" w:rsidP="002B6649">
      <w:pPr>
        <w:spacing w:after="0" w:line="360" w:lineRule="auto"/>
        <w:jc w:val="both"/>
        <w:rPr>
          <w:rFonts w:ascii="Palatino Linotype" w:hAnsi="Palatino Linotype" w:cs="Arial"/>
          <w:bCs/>
          <w:sz w:val="24"/>
          <w:lang w:eastAsia="es-MX"/>
        </w:rPr>
      </w:pPr>
      <w:r>
        <w:rPr>
          <w:rFonts w:ascii="Palatino Linotype" w:hAnsi="Palatino Linotype" w:cs="Arial"/>
          <w:color w:val="000000" w:themeColor="text1"/>
          <w:sz w:val="24"/>
          <w:szCs w:val="24"/>
        </w:rPr>
        <w:t>Ahora bien</w:t>
      </w:r>
      <w:r w:rsidR="008E48E5">
        <w:rPr>
          <w:rFonts w:ascii="Palatino Linotype" w:hAnsi="Palatino Linotype" w:cs="Arial"/>
          <w:color w:val="000000" w:themeColor="text1"/>
          <w:sz w:val="24"/>
          <w:szCs w:val="24"/>
        </w:rPr>
        <w:t>,</w:t>
      </w:r>
      <w:r>
        <w:rPr>
          <w:rFonts w:ascii="Palatino Linotype" w:hAnsi="Palatino Linotype" w:cs="Arial"/>
          <w:color w:val="000000" w:themeColor="text1"/>
          <w:sz w:val="24"/>
          <w:szCs w:val="24"/>
        </w:rPr>
        <w:t xml:space="preserve"> </w:t>
      </w:r>
      <w:r w:rsidR="00A03D00">
        <w:rPr>
          <w:rFonts w:ascii="Palatino Linotype" w:hAnsi="Palatino Linotype" w:cs="Arial"/>
          <w:color w:val="000000" w:themeColor="text1"/>
          <w:sz w:val="24"/>
          <w:szCs w:val="24"/>
        </w:rPr>
        <w:t xml:space="preserve">respecto de la solicitud número </w:t>
      </w:r>
      <w:r w:rsidR="00A03D00" w:rsidRPr="00B24392">
        <w:rPr>
          <w:rFonts w:ascii="Palatino Linotype" w:hAnsi="Palatino Linotype" w:cs="Arial"/>
          <w:b/>
          <w:sz w:val="24"/>
        </w:rPr>
        <w:t>01424/UPVT/IP/2018</w:t>
      </w:r>
      <w:r w:rsidR="00A03D00">
        <w:rPr>
          <w:rFonts w:ascii="Palatino Linotype" w:hAnsi="Palatino Linotype" w:cs="Arial"/>
          <w:sz w:val="24"/>
        </w:rPr>
        <w:t xml:space="preserve"> correspondiente al recurso de revisión </w:t>
      </w:r>
      <w:r w:rsidR="00A03D00" w:rsidRPr="00A03D00">
        <w:rPr>
          <w:rFonts w:ascii="Palatino Linotype" w:hAnsi="Palatino Linotype" w:cs="Arial"/>
          <w:b/>
          <w:bCs/>
          <w:sz w:val="24"/>
          <w:lang w:eastAsia="es-MX"/>
        </w:rPr>
        <w:t>04425/INFOEM/IP/RR/2018</w:t>
      </w:r>
      <w:r w:rsidR="00A03D00">
        <w:rPr>
          <w:rFonts w:ascii="Palatino Linotype" w:hAnsi="Palatino Linotype" w:cs="Arial"/>
          <w:bCs/>
          <w:sz w:val="24"/>
          <w:lang w:eastAsia="es-MX"/>
        </w:rPr>
        <w:t xml:space="preserve"> </w:t>
      </w:r>
      <w:r w:rsidR="0021310D">
        <w:rPr>
          <w:rFonts w:ascii="Palatino Linotype" w:hAnsi="Palatino Linotype" w:cs="Arial"/>
          <w:bCs/>
          <w:sz w:val="24"/>
          <w:lang w:eastAsia="es-MX"/>
        </w:rPr>
        <w:t>el</w:t>
      </w:r>
      <w:r w:rsidR="00A03D00">
        <w:rPr>
          <w:rFonts w:ascii="Palatino Linotype" w:hAnsi="Palatino Linotype" w:cs="Arial"/>
          <w:bCs/>
          <w:sz w:val="24"/>
          <w:lang w:eastAsia="es-MX"/>
        </w:rPr>
        <w:t xml:space="preserve"> hoy recurrente solicitó lo siguiente:</w:t>
      </w:r>
    </w:p>
    <w:p w:rsidR="00A03D00" w:rsidRDefault="00A03D00" w:rsidP="006169FC">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Finiquitos o liquidaciones pagadas a </w:t>
      </w:r>
      <w:r w:rsidR="00840816">
        <w:rPr>
          <w:rFonts w:ascii="Palatino Linotype" w:hAnsi="Palatino Linotype" w:cs="Arial"/>
        </w:rPr>
        <w:t>XXXXXXXXXXXXX</w:t>
      </w:r>
      <w:r>
        <w:rPr>
          <w:rFonts w:ascii="Palatino Linotype" w:hAnsi="Palatino Linotype" w:cs="Arial"/>
        </w:rPr>
        <w:t xml:space="preserve"> desde la existencia de la universidad al día de hoy (fecha de solicitud)</w:t>
      </w:r>
    </w:p>
    <w:p w:rsidR="00A03D00" w:rsidRDefault="00A03D00" w:rsidP="006169FC">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Funciones que lleva a cabo actualmente la persona referida en el punto anterior.</w:t>
      </w:r>
    </w:p>
    <w:p w:rsidR="00A03D00" w:rsidRDefault="00A03D00" w:rsidP="006169FC">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Cuanto se le ha pagado a la persona referida en el punto número uno.</w:t>
      </w:r>
    </w:p>
    <w:p w:rsidR="006169FC" w:rsidRPr="006169FC" w:rsidRDefault="00C03A76" w:rsidP="00A03D00">
      <w:pPr>
        <w:pStyle w:val="Prrafodelista"/>
        <w:autoSpaceDE w:val="0"/>
        <w:autoSpaceDN w:val="0"/>
        <w:adjustRightInd w:val="0"/>
        <w:spacing w:before="240" w:after="160" w:line="360" w:lineRule="auto"/>
        <w:ind w:left="720"/>
        <w:jc w:val="both"/>
        <w:rPr>
          <w:rFonts w:ascii="Palatino Linotype" w:hAnsi="Palatino Linotype" w:cs="Arial"/>
        </w:rPr>
      </w:pPr>
      <w:r>
        <w:rPr>
          <w:rFonts w:ascii="Palatino Linotype" w:hAnsi="Palatino Linotype" w:cs="Arial"/>
        </w:rPr>
        <w:t xml:space="preserve"> </w:t>
      </w:r>
    </w:p>
    <w:p w:rsidR="00A03D00" w:rsidRDefault="00A03D00"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Para lo anterior el sujeto obligado, emitió la debida respuesta a los requerimientos planteados en la solicitud de información, manifestando </w:t>
      </w:r>
      <w:r w:rsidR="00B07E50">
        <w:rPr>
          <w:rFonts w:ascii="Palatino Linotype" w:hAnsi="Palatino Linotype"/>
          <w:sz w:val="24"/>
          <w:szCs w:val="24"/>
        </w:rPr>
        <w:t>que después de realizar una búsqueda exhaustiva y razonable en los archivos del Departamento de Recursos Humanos y Materiales no se encuentra registro de alguna servidora pública co</w:t>
      </w:r>
      <w:r w:rsidR="00F62026">
        <w:rPr>
          <w:rFonts w:ascii="Palatino Linotype" w:hAnsi="Palatino Linotype"/>
          <w:sz w:val="24"/>
          <w:szCs w:val="24"/>
        </w:rPr>
        <w:t>n el nombre proporcionado por el</w:t>
      </w:r>
      <w:r w:rsidR="00B07E50">
        <w:rPr>
          <w:rFonts w:ascii="Palatino Linotype" w:hAnsi="Palatino Linotype"/>
          <w:sz w:val="24"/>
          <w:szCs w:val="24"/>
        </w:rPr>
        <w:t xml:space="preserve"> hoy recurrente, sin embargo en aras de garantizar el principio de máxima publicidad, dicha autoridad menciona que se cuentan con registros de la servidora pública </w:t>
      </w:r>
      <w:r w:rsidR="0022069F" w:rsidRPr="0022069F">
        <w:rPr>
          <w:rFonts w:ascii="Palatino Linotype" w:hAnsi="Palatino Linotype"/>
          <w:sz w:val="24"/>
          <w:szCs w:val="24"/>
        </w:rPr>
        <w:t>Alison Karen Navarrete Cruz</w:t>
      </w:r>
      <w:r w:rsidR="00C344EE">
        <w:rPr>
          <w:rFonts w:ascii="Palatino Linotype" w:hAnsi="Palatino Linotype"/>
          <w:sz w:val="24"/>
          <w:szCs w:val="24"/>
        </w:rPr>
        <w:t xml:space="preserve"> de la cual actualmente su finiquito se encuentra en proceso de trámite, asimismo </w:t>
      </w:r>
      <w:r w:rsidR="00B07E50">
        <w:rPr>
          <w:rFonts w:ascii="Palatino Linotype" w:hAnsi="Palatino Linotype"/>
          <w:sz w:val="24"/>
          <w:szCs w:val="24"/>
        </w:rPr>
        <w:t xml:space="preserve"> </w:t>
      </w:r>
      <w:r w:rsidR="00C344EE">
        <w:rPr>
          <w:rFonts w:ascii="Palatino Linotype" w:hAnsi="Palatino Linotype"/>
          <w:sz w:val="24"/>
          <w:szCs w:val="24"/>
        </w:rPr>
        <w:t xml:space="preserve">respecto de las funciones que desempeña dicha servidora pública </w:t>
      </w:r>
      <w:r w:rsidR="00587A7F">
        <w:rPr>
          <w:rFonts w:ascii="Palatino Linotype" w:hAnsi="Palatino Linotype"/>
          <w:sz w:val="24"/>
          <w:szCs w:val="24"/>
        </w:rPr>
        <w:t>el sujeto obligado remite</w:t>
      </w:r>
      <w:bookmarkStart w:id="0" w:name="_GoBack"/>
      <w:bookmarkEnd w:id="0"/>
      <w:r w:rsidR="00587A7F">
        <w:rPr>
          <w:rFonts w:ascii="Palatino Linotype" w:hAnsi="Palatino Linotype"/>
          <w:sz w:val="24"/>
          <w:szCs w:val="24"/>
        </w:rPr>
        <w:t xml:space="preserve"> a la fracción XII del portal </w:t>
      </w:r>
      <w:proofErr w:type="spellStart"/>
      <w:r w:rsidR="00587A7F">
        <w:rPr>
          <w:rFonts w:ascii="Palatino Linotype" w:hAnsi="Palatino Linotype"/>
          <w:sz w:val="24"/>
          <w:szCs w:val="24"/>
        </w:rPr>
        <w:t>Ipomex</w:t>
      </w:r>
      <w:proofErr w:type="spellEnd"/>
      <w:r w:rsidR="00587A7F">
        <w:rPr>
          <w:rFonts w:ascii="Palatino Linotype" w:hAnsi="Palatino Linotype"/>
          <w:sz w:val="24"/>
          <w:szCs w:val="24"/>
        </w:rPr>
        <w:t xml:space="preserve"> en donde se puede consultar el perfil de puestos de los servidores públicos que laboran en dicha Institución, finalmente el sujeto obligado manifiesta que por cuanto hace al monto a cuanto se le pago a dicha persona, después de haber realizado una búsqueda exhaustiva y razonable en los archivos del Departamento anteriormente mencionado, en el periodo de mayo de 2013 a octubre de 2018 se le pagó la cantidad total de $320,037.87.</w:t>
      </w:r>
    </w:p>
    <w:p w:rsidR="00587A7F" w:rsidRDefault="00587A7F"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Dicha respuesta le resultó desfavorable a la particular y en medio de defensa respectivo promovió el medio de impugnación que hoy nos ocupa, presentando como razones o motivos de inconformidad lo siguiente:</w:t>
      </w:r>
    </w:p>
    <w:p w:rsidR="00587A7F" w:rsidRPr="007D4F84" w:rsidRDefault="007D4F84" w:rsidP="007D4F84">
      <w:pPr>
        <w:tabs>
          <w:tab w:val="left" w:pos="8789"/>
        </w:tabs>
        <w:spacing w:before="240" w:line="360" w:lineRule="auto"/>
        <w:ind w:left="851" w:right="992"/>
        <w:jc w:val="both"/>
        <w:rPr>
          <w:rFonts w:ascii="Palatino Linotype" w:hAnsi="Palatino Linotype"/>
          <w:i/>
          <w:szCs w:val="24"/>
        </w:rPr>
      </w:pPr>
      <w:r w:rsidRPr="007D4F84">
        <w:rPr>
          <w:rFonts w:ascii="Palatino Linotype" w:hAnsi="Palatino Linotype"/>
          <w:i/>
          <w:szCs w:val="24"/>
        </w:rPr>
        <w:t>“No informan los recursos pagados a la persona que se solicita saber”</w:t>
      </w:r>
    </w:p>
    <w:p w:rsidR="00F10424" w:rsidRPr="009C2C0F" w:rsidRDefault="00BD3F5A" w:rsidP="00F10424">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rPr>
        <w:t xml:space="preserve">De las manifestaciones expuestas por el recurrente se desprende que se inconforma </w:t>
      </w:r>
      <w:r w:rsidR="004D528E">
        <w:rPr>
          <w:rFonts w:ascii="Palatino Linotype" w:hAnsi="Palatino Linotype" w:cs="Arial"/>
        </w:rPr>
        <w:t>por no haberle informado de los recursos pagados a la persona que refiere en la solicitud de información.</w:t>
      </w:r>
    </w:p>
    <w:p w:rsidR="001273C4" w:rsidRDefault="004D528E" w:rsidP="00172F03">
      <w:pPr>
        <w:tabs>
          <w:tab w:val="left" w:pos="8931"/>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 xml:space="preserve">En ese orden de ideas </w:t>
      </w:r>
      <w:r w:rsidR="000B035D">
        <w:rPr>
          <w:rFonts w:ascii="Palatino Linotype" w:hAnsi="Palatino Linotype" w:cs="Arial"/>
          <w:sz w:val="24"/>
          <w:szCs w:val="24"/>
        </w:rPr>
        <w:t xml:space="preserve">respecto del punto uno </w:t>
      </w:r>
      <w:r w:rsidR="00F62026">
        <w:rPr>
          <w:rFonts w:ascii="Palatino Linotype" w:hAnsi="Palatino Linotype" w:cs="Arial"/>
          <w:sz w:val="24"/>
          <w:szCs w:val="24"/>
        </w:rPr>
        <w:t xml:space="preserve">tenemos que el particular solicita los finiquitos o liquidaciones pagadas a la persona referida en la solicitud de información, a lo que el sujeto obligado respondió que el finiquito se encontraba en proceso de trámite, sin embargo este Órgano Garante considera que dentro del periodo laboral </w:t>
      </w:r>
      <w:r w:rsidR="00B32AFC">
        <w:rPr>
          <w:rFonts w:ascii="Palatino Linotype" w:hAnsi="Palatino Linotype" w:cs="Arial"/>
          <w:sz w:val="24"/>
          <w:szCs w:val="24"/>
        </w:rPr>
        <w:t xml:space="preserve">al que hace referencia </w:t>
      </w:r>
      <w:r w:rsidR="00B12005">
        <w:rPr>
          <w:rFonts w:ascii="Palatino Linotype" w:hAnsi="Palatino Linotype" w:cs="Arial"/>
          <w:sz w:val="24"/>
          <w:szCs w:val="24"/>
        </w:rPr>
        <w:t>el sujeto obligado, es decir de mayo de 2013 a octubre de 2018, pudieron habérsele entregado diversos finiquitos a la persona referida, toda vez qu</w:t>
      </w:r>
      <w:r w:rsidR="00393035">
        <w:rPr>
          <w:rFonts w:ascii="Palatino Linotype" w:hAnsi="Palatino Linotype" w:cs="Arial"/>
          <w:sz w:val="24"/>
          <w:szCs w:val="24"/>
        </w:rPr>
        <w:t xml:space="preserve">e no sabe bajo qué relación de trabajo se encontraba tal persona, </w:t>
      </w:r>
      <w:r w:rsidR="001273C4">
        <w:rPr>
          <w:rFonts w:ascii="Palatino Linotype" w:hAnsi="Palatino Linotype" w:cs="Arial"/>
          <w:sz w:val="24"/>
          <w:szCs w:val="24"/>
        </w:rPr>
        <w:t>ya que la Ley de Servidores Públicos en su artículo 5 establece lo siguiente:</w:t>
      </w:r>
    </w:p>
    <w:p w:rsidR="001273C4" w:rsidRPr="001273C4" w:rsidRDefault="001273C4" w:rsidP="001273C4">
      <w:pPr>
        <w:tabs>
          <w:tab w:val="left" w:pos="8647"/>
        </w:tabs>
        <w:spacing w:before="240" w:line="360" w:lineRule="auto"/>
        <w:ind w:left="851" w:right="850"/>
        <w:jc w:val="both"/>
        <w:rPr>
          <w:rFonts w:ascii="Palatino Linotype" w:hAnsi="Palatino Linotype"/>
          <w:i/>
        </w:rPr>
      </w:pPr>
      <w:r w:rsidRPr="001273C4">
        <w:rPr>
          <w:rFonts w:ascii="Palatino Linotype" w:hAnsi="Palatino Linotype"/>
          <w:i/>
        </w:rPr>
        <w:t xml:space="preserve">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1273C4" w:rsidRPr="001273C4" w:rsidRDefault="001273C4" w:rsidP="001273C4">
      <w:pPr>
        <w:tabs>
          <w:tab w:val="left" w:pos="8647"/>
        </w:tabs>
        <w:spacing w:before="240" w:line="360" w:lineRule="auto"/>
        <w:ind w:left="851" w:right="850"/>
        <w:jc w:val="both"/>
        <w:rPr>
          <w:rFonts w:ascii="Palatino Linotype" w:hAnsi="Palatino Linotype" w:cs="Arial"/>
          <w:i/>
          <w:sz w:val="24"/>
          <w:szCs w:val="24"/>
        </w:rPr>
      </w:pPr>
      <w:r w:rsidRPr="001273C4">
        <w:rPr>
          <w:rFonts w:ascii="Palatino Linotype" w:hAnsi="Palatino Linotype"/>
          <w:i/>
        </w:rPr>
        <w:t>Para los efectos de esta ley, las instituciones públicas estarán representadas por sus titulares.</w:t>
      </w:r>
    </w:p>
    <w:p w:rsidR="004D528E" w:rsidRDefault="001273C4" w:rsidP="00172F03">
      <w:pPr>
        <w:tabs>
          <w:tab w:val="left" w:pos="8931"/>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Asimismo</w:t>
      </w:r>
      <w:r w:rsidR="00393035">
        <w:rPr>
          <w:rFonts w:ascii="Palatino Linotype" w:hAnsi="Palatino Linotype" w:cs="Arial"/>
          <w:sz w:val="24"/>
          <w:szCs w:val="24"/>
        </w:rPr>
        <w:t xml:space="preserve"> no se tiene certeza si el periodo laboral en la que prestó sus servicios la servidora pública fue continuo o si con anterioridad a la fecha de la solicitud ya se le había proporcionado algún finiquito por recisión laboral</w:t>
      </w:r>
      <w:r w:rsidR="003A74EC">
        <w:rPr>
          <w:rFonts w:ascii="Palatino Linotype" w:hAnsi="Palatino Linotype" w:cs="Arial"/>
          <w:sz w:val="24"/>
          <w:szCs w:val="24"/>
        </w:rPr>
        <w:t>.</w:t>
      </w:r>
    </w:p>
    <w:p w:rsidR="003A74EC" w:rsidRDefault="003A74EC" w:rsidP="00172F03">
      <w:pPr>
        <w:tabs>
          <w:tab w:val="left" w:pos="8931"/>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Por ende </w:t>
      </w:r>
      <w:r w:rsidR="009051EB">
        <w:rPr>
          <w:rFonts w:ascii="Palatino Linotype" w:hAnsi="Palatino Linotype" w:cs="Arial"/>
          <w:sz w:val="24"/>
          <w:szCs w:val="24"/>
        </w:rPr>
        <w:t xml:space="preserve">esta Ponencia </w:t>
      </w:r>
      <w:proofErr w:type="spellStart"/>
      <w:r w:rsidR="009051EB">
        <w:rPr>
          <w:rFonts w:ascii="Palatino Linotype" w:hAnsi="Palatino Linotype" w:cs="Arial"/>
          <w:sz w:val="24"/>
          <w:szCs w:val="24"/>
        </w:rPr>
        <w:t>Resolutora</w:t>
      </w:r>
      <w:proofErr w:type="spellEnd"/>
      <w:r w:rsidR="009051EB">
        <w:rPr>
          <w:rFonts w:ascii="Palatino Linotype" w:hAnsi="Palatino Linotype" w:cs="Arial"/>
          <w:sz w:val="24"/>
          <w:szCs w:val="24"/>
        </w:rPr>
        <w:t xml:space="preserve"> considera dable ordenar al sujeto obligado </w:t>
      </w:r>
      <w:r w:rsidR="00CC49D9">
        <w:rPr>
          <w:rFonts w:ascii="Palatino Linotype" w:hAnsi="Palatino Linotype" w:cs="Arial"/>
          <w:sz w:val="24"/>
          <w:szCs w:val="24"/>
        </w:rPr>
        <w:t>haga entrega de los finiquitos p</w:t>
      </w:r>
      <w:r w:rsidR="00AF5754">
        <w:rPr>
          <w:rFonts w:ascii="Palatino Linotype" w:hAnsi="Palatino Linotype" w:cs="Arial"/>
          <w:sz w:val="24"/>
          <w:szCs w:val="24"/>
        </w:rPr>
        <w:t>agados a la servidora pública referida en la respuesta a dicha solicitud, empero en el caso de que solamente se encuentre el finiquito que está en proceso de trámite, bastara con que así lo manifieste el sujeto obligado.</w:t>
      </w:r>
    </w:p>
    <w:p w:rsidR="00AF5754" w:rsidRDefault="00AF5754" w:rsidP="00172F03">
      <w:pPr>
        <w:tabs>
          <w:tab w:val="left" w:pos="8931"/>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 xml:space="preserve">Ahora bien respecto del punto dos, anteriormente señalado se considera que el sujeto obligado respondió de manera adecuada a tal requerimiento, toda vez que dicha autoridad le hace del conocimiento al recurrente que dicha información, se encuentra publicada en el portal </w:t>
      </w:r>
      <w:proofErr w:type="spellStart"/>
      <w:r>
        <w:rPr>
          <w:rFonts w:ascii="Palatino Linotype" w:hAnsi="Palatino Linotype" w:cs="Arial"/>
          <w:sz w:val="24"/>
          <w:szCs w:val="24"/>
        </w:rPr>
        <w:t>Ipomex</w:t>
      </w:r>
      <w:proofErr w:type="spellEnd"/>
      <w:r>
        <w:rPr>
          <w:rFonts w:ascii="Palatino Linotype" w:hAnsi="Palatino Linotype" w:cs="Arial"/>
          <w:sz w:val="24"/>
          <w:szCs w:val="24"/>
        </w:rPr>
        <w:t>, siendo específicos en la fracción XII del artículo 92, otorgándole el link electrónico y dándole paso a paso, para que el particular pueda obtener la información, por lo tanto se considera que dicho punto ha sido colmado por el sujeto obligado.</w:t>
      </w:r>
    </w:p>
    <w:p w:rsidR="00AF5754" w:rsidRPr="00AF5754" w:rsidRDefault="00AF5754" w:rsidP="00172F03">
      <w:pPr>
        <w:tabs>
          <w:tab w:val="left" w:pos="8931"/>
        </w:tabs>
        <w:spacing w:before="240" w:line="360" w:lineRule="auto"/>
        <w:ind w:right="51"/>
        <w:jc w:val="both"/>
        <w:rPr>
          <w:rFonts w:ascii="Palatino Linotype" w:hAnsi="Palatino Linotype" w:cs="Arial"/>
          <w:sz w:val="24"/>
          <w:szCs w:val="24"/>
        </w:rPr>
      </w:pPr>
    </w:p>
    <w:p w:rsidR="00F10424" w:rsidRDefault="00F10424" w:rsidP="00172F03">
      <w:pPr>
        <w:tabs>
          <w:tab w:val="left" w:pos="8931"/>
        </w:tabs>
        <w:spacing w:before="24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Por otro lado, por cuanto hace al punto tres, referido anteriormente, la recurrente se inconforma manifestando que </w:t>
      </w:r>
      <w:r w:rsidRPr="00F10424">
        <w:rPr>
          <w:rFonts w:ascii="Palatino Linotype" w:eastAsia="Arial Unicode MS" w:hAnsi="Palatino Linotype" w:cs="Arial"/>
          <w:i/>
          <w:sz w:val="24"/>
          <w:szCs w:val="24"/>
        </w:rPr>
        <w:t>“no informan los recursos pagados a la persona que se solicita saber”</w:t>
      </w:r>
      <w:r>
        <w:rPr>
          <w:rFonts w:ascii="Palatino Linotype" w:eastAsia="Arial Unicode MS" w:hAnsi="Palatino Linotype" w:cs="Arial"/>
          <w:sz w:val="24"/>
          <w:szCs w:val="24"/>
        </w:rPr>
        <w:t xml:space="preserve">, sin embargo es necesario precisar que, el sujeto obligado, a través de la respuesta primigenia, le hizo del conocimiento a la impetrante que el monto pagado a la multicitada servidora pública era un total </w:t>
      </w:r>
      <w:r w:rsidR="00085C02">
        <w:rPr>
          <w:rFonts w:ascii="Palatino Linotype" w:eastAsia="Arial Unicode MS" w:hAnsi="Palatino Linotype" w:cs="Arial"/>
          <w:sz w:val="24"/>
          <w:szCs w:val="24"/>
        </w:rPr>
        <w:t>$320,037.87, por lo que este Órgano Garante considera que, dicha autoridad colmo con tal requerimiento, respondiendo de manera adecuada a dicho punto.</w:t>
      </w:r>
    </w:p>
    <w:p w:rsidR="00AF5754" w:rsidRDefault="00AF5754" w:rsidP="00172F03">
      <w:pPr>
        <w:tabs>
          <w:tab w:val="left" w:pos="8931"/>
        </w:tabs>
        <w:spacing w:before="240" w:line="360" w:lineRule="auto"/>
        <w:ind w:right="51"/>
        <w:jc w:val="both"/>
        <w:rPr>
          <w:rFonts w:ascii="Palatino Linotype" w:eastAsia="Arial Unicode MS" w:hAnsi="Palatino Linotype" w:cs="Arial"/>
          <w:sz w:val="24"/>
          <w:szCs w:val="24"/>
        </w:rPr>
      </w:pPr>
    </w:p>
    <w:p w:rsidR="00085C02" w:rsidRDefault="009B71AE" w:rsidP="00172F03">
      <w:pPr>
        <w:tabs>
          <w:tab w:val="left" w:pos="8931"/>
        </w:tabs>
        <w:spacing w:before="240" w:line="360" w:lineRule="auto"/>
        <w:ind w:right="51"/>
        <w:jc w:val="both"/>
        <w:rPr>
          <w:rFonts w:ascii="Palatino Linotype" w:hAnsi="Palatino Linotype" w:cs="Arial"/>
          <w:sz w:val="24"/>
        </w:rPr>
      </w:pPr>
      <w:r>
        <w:rPr>
          <w:rFonts w:ascii="Palatino Linotype" w:hAnsi="Palatino Linotype" w:cs="Arial"/>
          <w:sz w:val="24"/>
          <w:szCs w:val="24"/>
        </w:rPr>
        <w:t xml:space="preserve">Ahora bien en segundo término tenemos el recurso de revisión </w:t>
      </w:r>
      <w:r w:rsidR="00085C02">
        <w:rPr>
          <w:rFonts w:ascii="Palatino Linotype" w:eastAsia="Arial Unicode MS" w:hAnsi="Palatino Linotype" w:cs="Arial"/>
          <w:sz w:val="24"/>
          <w:szCs w:val="24"/>
        </w:rPr>
        <w:t xml:space="preserve"> </w:t>
      </w:r>
      <w:r>
        <w:rPr>
          <w:rFonts w:ascii="Palatino Linotype" w:hAnsi="Palatino Linotype" w:cs="Arial"/>
          <w:bCs/>
          <w:sz w:val="24"/>
          <w:lang w:eastAsia="es-MX"/>
        </w:rPr>
        <w:t xml:space="preserve">04448/INFOEM/IP/RR/2018 correspondiente a la solicitud de información </w:t>
      </w:r>
      <w:r>
        <w:rPr>
          <w:rFonts w:ascii="Palatino Linotype" w:hAnsi="Palatino Linotype" w:cs="Arial"/>
          <w:b/>
          <w:sz w:val="24"/>
        </w:rPr>
        <w:t>01448</w:t>
      </w:r>
      <w:r w:rsidRPr="00B24392">
        <w:rPr>
          <w:rFonts w:ascii="Palatino Linotype" w:hAnsi="Palatino Linotype" w:cs="Arial"/>
          <w:b/>
          <w:sz w:val="24"/>
        </w:rPr>
        <w:t>/UPVT/IP/2018</w:t>
      </w:r>
      <w:r w:rsidR="00DF5ED8">
        <w:rPr>
          <w:rFonts w:ascii="Palatino Linotype" w:hAnsi="Palatino Linotype" w:cs="Arial"/>
          <w:sz w:val="24"/>
        </w:rPr>
        <w:t xml:space="preserve"> en donde el</w:t>
      </w:r>
      <w:r>
        <w:rPr>
          <w:rFonts w:ascii="Palatino Linotype" w:hAnsi="Palatino Linotype" w:cs="Arial"/>
          <w:sz w:val="24"/>
        </w:rPr>
        <w:t xml:space="preserve"> recurrente solicita lo siguiente:</w:t>
      </w:r>
    </w:p>
    <w:p w:rsidR="009B71AE" w:rsidRDefault="009B71AE" w:rsidP="009B71AE">
      <w:pPr>
        <w:pStyle w:val="Prrafodelista"/>
        <w:numPr>
          <w:ilvl w:val="0"/>
          <w:numId w:val="22"/>
        </w:numPr>
        <w:tabs>
          <w:tab w:val="left" w:pos="8931"/>
        </w:tabs>
        <w:spacing w:before="240" w:line="360" w:lineRule="auto"/>
        <w:ind w:right="51"/>
        <w:jc w:val="both"/>
        <w:rPr>
          <w:rFonts w:ascii="Palatino Linotype" w:hAnsi="Palatino Linotype"/>
        </w:rPr>
      </w:pPr>
      <w:r>
        <w:rPr>
          <w:rFonts w:ascii="Palatino Linotype" w:hAnsi="Palatino Linotype"/>
        </w:rPr>
        <w:t>Cantidad de aguinaldo a pagar por trabajador</w:t>
      </w:r>
    </w:p>
    <w:p w:rsidR="009B71AE" w:rsidRDefault="009B71AE" w:rsidP="009B71AE">
      <w:pPr>
        <w:pStyle w:val="Prrafodelista"/>
        <w:numPr>
          <w:ilvl w:val="0"/>
          <w:numId w:val="22"/>
        </w:numPr>
        <w:tabs>
          <w:tab w:val="left" w:pos="8931"/>
        </w:tabs>
        <w:spacing w:before="240" w:line="360" w:lineRule="auto"/>
        <w:ind w:right="51"/>
        <w:jc w:val="both"/>
        <w:rPr>
          <w:rFonts w:ascii="Palatino Linotype" w:hAnsi="Palatino Linotype"/>
        </w:rPr>
      </w:pPr>
      <w:r>
        <w:rPr>
          <w:rFonts w:ascii="Palatino Linotype" w:hAnsi="Palatino Linotype"/>
        </w:rPr>
        <w:lastRenderedPageBreak/>
        <w:t>Prestación que se paga de acuerdo a la Institución en el mes de noviembre de 2018</w:t>
      </w:r>
    </w:p>
    <w:p w:rsidR="009B71AE" w:rsidRDefault="009B71AE" w:rsidP="009B71AE">
      <w:pPr>
        <w:pStyle w:val="Prrafodelista"/>
        <w:numPr>
          <w:ilvl w:val="0"/>
          <w:numId w:val="22"/>
        </w:numPr>
        <w:tabs>
          <w:tab w:val="left" w:pos="8931"/>
        </w:tabs>
        <w:spacing w:before="240" w:line="360" w:lineRule="auto"/>
        <w:ind w:right="51"/>
        <w:jc w:val="both"/>
        <w:rPr>
          <w:rFonts w:ascii="Palatino Linotype" w:hAnsi="Palatino Linotype"/>
        </w:rPr>
      </w:pPr>
      <w:r>
        <w:rPr>
          <w:rFonts w:ascii="Palatino Linotype" w:hAnsi="Palatino Linotype"/>
        </w:rPr>
        <w:t xml:space="preserve">Pagos de aguinaldo que se han efectuado por concepto de renuncia, finiquito, liquidación o indemnización </w:t>
      </w:r>
    </w:p>
    <w:p w:rsidR="00DF5ED8" w:rsidRPr="009B71AE" w:rsidRDefault="00DF5ED8" w:rsidP="00DF5ED8">
      <w:pPr>
        <w:pStyle w:val="Prrafodelista"/>
        <w:tabs>
          <w:tab w:val="left" w:pos="8931"/>
        </w:tabs>
        <w:spacing w:before="240" w:line="360" w:lineRule="auto"/>
        <w:ind w:left="720" w:right="51"/>
        <w:jc w:val="both"/>
        <w:rPr>
          <w:rFonts w:ascii="Palatino Linotype" w:hAnsi="Palatino Linotype"/>
        </w:rPr>
      </w:pPr>
    </w:p>
    <w:p w:rsidR="00B07E50" w:rsidRDefault="00FF77E7"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2913380</wp:posOffset>
                </wp:positionV>
                <wp:extent cx="5734050" cy="26479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734050" cy="2647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1ACA69"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229.4pt" to="451.95pt,4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" strokecolor="black [3200]" strokeweight=".5pt">
                <v:stroke joinstyle="miter"/>
              </v:line>
            </w:pict>
          </mc:Fallback>
        </mc:AlternateContent>
      </w:r>
      <w:r w:rsidR="002D0E9D">
        <w:rPr>
          <w:rFonts w:ascii="Palatino Linotype" w:hAnsi="Palatino Linotype"/>
          <w:sz w:val="24"/>
          <w:szCs w:val="24"/>
        </w:rPr>
        <w:t xml:space="preserve">Para lo anterior el sujeto obligado a través de la respuesta primigenia, argumento que en lo referente a la cantidad de aguinaldo a pagar por trabajador y la prestación que se paga de acuerdo de la Institución en el mes de noviembre 2018, siendo estos referidos en los puntos 1 y 2, </w:t>
      </w:r>
      <w:r w:rsidR="007D7039">
        <w:rPr>
          <w:rFonts w:ascii="Palatino Linotype" w:hAnsi="Palatino Linotype"/>
          <w:sz w:val="24"/>
          <w:szCs w:val="24"/>
        </w:rPr>
        <w:t xml:space="preserve">derivado de una búsqueda exhaustiva y razonable y con base al artículo 12 de la Ley de Transparencia Local y a lo establecido en el Contrato Colectivo de Trabajo del Sindicato de Trabajadores Académicos y Administrativos de la Universidad Politécnica del Valle de Toluca, el aguinaldo que se paga a cada trabajador corresponde a 60 días de sueldo base presupuestal. Sirve de sustento la siguiente imagen ilustrativa: </w:t>
      </w:r>
    </w:p>
    <w:p w:rsidR="007D7039" w:rsidRDefault="007D7039" w:rsidP="00172F03">
      <w:pPr>
        <w:tabs>
          <w:tab w:val="left" w:pos="8931"/>
        </w:tabs>
        <w:spacing w:before="240" w:line="360" w:lineRule="auto"/>
        <w:ind w:right="51"/>
        <w:jc w:val="both"/>
        <w:rPr>
          <w:rFonts w:ascii="Palatino Linotype" w:hAnsi="Palatino Linotype"/>
          <w:sz w:val="24"/>
          <w:szCs w:val="24"/>
        </w:rPr>
      </w:pPr>
      <w:r>
        <w:rPr>
          <w:noProof/>
          <w:lang w:eastAsia="es-MX"/>
        </w:rPr>
        <w:lastRenderedPageBreak/>
        <w:drawing>
          <wp:inline distT="0" distB="0" distL="0" distR="0" wp14:anchorId="0D1D68AD" wp14:editId="62E14D4C">
            <wp:extent cx="5734050" cy="3714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439" t="16167" r="29233" b="22987"/>
                    <a:stretch/>
                  </pic:blipFill>
                  <pic:spPr bwMode="auto">
                    <a:xfrm>
                      <a:off x="0" y="0"/>
                      <a:ext cx="5734050" cy="3714750"/>
                    </a:xfrm>
                    <a:prstGeom prst="rect">
                      <a:avLst/>
                    </a:prstGeom>
                    <a:ln>
                      <a:noFill/>
                    </a:ln>
                    <a:extLst>
                      <a:ext uri="{53640926-AAD7-44D8-BBD7-CCE9431645EC}">
                        <a14:shadowObscured xmlns:a14="http://schemas.microsoft.com/office/drawing/2010/main"/>
                      </a:ext>
                    </a:extLst>
                  </pic:spPr>
                </pic:pic>
              </a:graphicData>
            </a:graphic>
          </wp:inline>
        </w:drawing>
      </w:r>
    </w:p>
    <w:p w:rsidR="00B07E50" w:rsidRDefault="00B07E50" w:rsidP="00172F03">
      <w:pPr>
        <w:tabs>
          <w:tab w:val="left" w:pos="8931"/>
        </w:tabs>
        <w:spacing w:before="240" w:line="360" w:lineRule="auto"/>
        <w:ind w:right="51"/>
        <w:jc w:val="both"/>
        <w:rPr>
          <w:rFonts w:ascii="Palatino Linotype" w:hAnsi="Palatino Linotype"/>
          <w:sz w:val="24"/>
          <w:szCs w:val="24"/>
        </w:rPr>
      </w:pPr>
    </w:p>
    <w:p w:rsidR="00B07E50" w:rsidRDefault="00FF77E7"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1626235</wp:posOffset>
                </wp:positionV>
                <wp:extent cx="5715000" cy="14668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715000" cy="1466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F7646D" id="Conector recto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128.05pt" to="451.2pt,2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" strokecolor="black [3200]" strokeweight=".5pt">
                <v:stroke joinstyle="miter"/>
              </v:line>
            </w:pict>
          </mc:Fallback>
        </mc:AlternateContent>
      </w:r>
      <w:r w:rsidR="007D7039">
        <w:rPr>
          <w:rFonts w:ascii="Palatino Linotype" w:hAnsi="Palatino Linotype"/>
          <w:sz w:val="24"/>
          <w:szCs w:val="24"/>
        </w:rPr>
        <w:t xml:space="preserve">Asimismo respecto del punto 3 anteriormente </w:t>
      </w:r>
      <w:r w:rsidR="0029062B">
        <w:rPr>
          <w:rFonts w:ascii="Palatino Linotype" w:hAnsi="Palatino Linotype"/>
          <w:sz w:val="24"/>
          <w:szCs w:val="24"/>
        </w:rPr>
        <w:t>señalado, el sujeto obligado manifiesta que dentro del periodo comprendido del 1 de enero de 2018 al 29 de octubre del mismo año se adjuntan las pólizas de cheque, así como el recibo de finiquito en donde consta el pago de la parte proporcional de aguinaldo, sirve de sustento la siguiente imagen ilustrativa:</w:t>
      </w:r>
    </w:p>
    <w:p w:rsidR="0029062B" w:rsidRDefault="0029062B" w:rsidP="00172F03">
      <w:pPr>
        <w:tabs>
          <w:tab w:val="left" w:pos="8931"/>
        </w:tabs>
        <w:spacing w:before="240" w:line="360" w:lineRule="auto"/>
        <w:ind w:right="51"/>
        <w:jc w:val="both"/>
        <w:rPr>
          <w:rFonts w:ascii="Palatino Linotype" w:hAnsi="Palatino Linotype"/>
          <w:sz w:val="24"/>
          <w:szCs w:val="24"/>
        </w:rPr>
      </w:pPr>
      <w:r>
        <w:rPr>
          <w:noProof/>
          <w:lang w:eastAsia="es-MX"/>
        </w:rPr>
        <w:lastRenderedPageBreak/>
        <w:drawing>
          <wp:inline distT="0" distB="0" distL="0" distR="0" wp14:anchorId="1953090B" wp14:editId="26B5C90E">
            <wp:extent cx="5753100" cy="1857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228" t="28806" r="55688" b="52675"/>
                    <a:stretch/>
                  </pic:blipFill>
                  <pic:spPr bwMode="auto">
                    <a:xfrm>
                      <a:off x="0" y="0"/>
                      <a:ext cx="5753100" cy="1857375"/>
                    </a:xfrm>
                    <a:prstGeom prst="rect">
                      <a:avLst/>
                    </a:prstGeom>
                    <a:ln>
                      <a:noFill/>
                    </a:ln>
                    <a:extLst>
                      <a:ext uri="{53640926-AAD7-44D8-BBD7-CCE9431645EC}">
                        <a14:shadowObscured xmlns:a14="http://schemas.microsoft.com/office/drawing/2010/main"/>
                      </a:ext>
                    </a:extLst>
                  </pic:spPr>
                </pic:pic>
              </a:graphicData>
            </a:graphic>
          </wp:inline>
        </w:drawing>
      </w:r>
    </w:p>
    <w:p w:rsidR="00B07E50" w:rsidRDefault="00FD6835"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Dicha respuesta le resultó desfavorable al recurrente y al momento de presentar el medio de impugnación que hoy nos ocupa manifestó como razones o motivos de inconformidad lo siguiente:</w:t>
      </w:r>
    </w:p>
    <w:p w:rsidR="00FD6835" w:rsidRPr="00FD6835" w:rsidRDefault="00FD6835" w:rsidP="00FD6835">
      <w:pPr>
        <w:tabs>
          <w:tab w:val="left" w:pos="8789"/>
        </w:tabs>
        <w:spacing w:before="240" w:line="360" w:lineRule="auto"/>
        <w:ind w:left="851" w:right="850"/>
        <w:jc w:val="both"/>
        <w:rPr>
          <w:rFonts w:ascii="Palatino Linotype" w:hAnsi="Palatino Linotype"/>
          <w:i/>
          <w:szCs w:val="24"/>
        </w:rPr>
      </w:pPr>
      <w:r w:rsidRPr="00FD6835">
        <w:rPr>
          <w:rFonts w:ascii="Palatino Linotype" w:hAnsi="Palatino Linotype"/>
          <w:i/>
          <w:szCs w:val="24"/>
        </w:rPr>
        <w:t>“Niegan la información”</w:t>
      </w:r>
    </w:p>
    <w:p w:rsidR="00B07E50" w:rsidRDefault="00FD6835"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En ese orden de ideas, resulta necesario tomar como referencia las razones o motivos de inconformidad presentadas por el recurrente, toda vez que si bien es cierto expresa que le están negando la información, también lo es que se puede apreciar en la respuesta proporcionada por el sujeto obligado que, en ningún momento se está negando la existencia de la información</w:t>
      </w:r>
      <w:r w:rsidR="00066030">
        <w:rPr>
          <w:rFonts w:ascii="Palatino Linotype" w:hAnsi="Palatino Linotype"/>
          <w:sz w:val="24"/>
          <w:szCs w:val="24"/>
        </w:rPr>
        <w:t>, así como el acceso a esta, más bien dicha autoridad está proporcionando la información con la que cuenta y en el estado en el que se encuentra, atendiendo a todos los requerimientos planteados por el impetrante.</w:t>
      </w:r>
    </w:p>
    <w:p w:rsidR="00066030" w:rsidRDefault="00066030"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toda vez que el particular solicitó la cantidad de aguinaldo </w:t>
      </w:r>
      <w:r w:rsidR="00B00A9E">
        <w:rPr>
          <w:rFonts w:ascii="Palatino Linotype" w:hAnsi="Palatino Linotype"/>
          <w:sz w:val="24"/>
          <w:szCs w:val="24"/>
        </w:rPr>
        <w:t xml:space="preserve">a pagar por trabajador, resulta necesario precisar que para obtener exactamente la cantidad, el sujeto obligado tendría que efectuar cálculos o realizar operaciones para proporcionar dicha información, situación a la que dichas autoridades no están obligados, ya que </w:t>
      </w:r>
      <w:r w:rsidR="00B00A9E">
        <w:rPr>
          <w:rFonts w:ascii="Palatino Linotype" w:hAnsi="Palatino Linotype"/>
          <w:sz w:val="24"/>
          <w:szCs w:val="24"/>
        </w:rPr>
        <w:lastRenderedPageBreak/>
        <w:t>tal como lo mencionó el sujeto obligado, solo se proporcionará información pública que obre en los archivos y en el estado en que se encuentre, sirve de sustento la siguiente transcripción:</w:t>
      </w:r>
    </w:p>
    <w:p w:rsidR="00B00A9E" w:rsidRPr="00B00A9E" w:rsidRDefault="00B00A9E" w:rsidP="00B00A9E">
      <w:pPr>
        <w:tabs>
          <w:tab w:val="left" w:pos="8789"/>
        </w:tabs>
        <w:spacing w:before="240" w:line="240" w:lineRule="auto"/>
        <w:ind w:left="851" w:right="850"/>
        <w:jc w:val="both"/>
        <w:rPr>
          <w:rFonts w:ascii="Palatino Linotype" w:hAnsi="Palatino Linotype"/>
          <w:i/>
        </w:rPr>
      </w:pPr>
      <w:r w:rsidRPr="00B00A9E">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rsidR="00B00A9E" w:rsidRPr="00B00A9E" w:rsidRDefault="00B00A9E" w:rsidP="00B00A9E">
      <w:pPr>
        <w:tabs>
          <w:tab w:val="left" w:pos="8789"/>
        </w:tabs>
        <w:spacing w:before="240" w:line="240" w:lineRule="auto"/>
        <w:ind w:left="851" w:right="850"/>
        <w:jc w:val="both"/>
        <w:rPr>
          <w:rFonts w:ascii="Palatino Linotype" w:hAnsi="Palatino Linotype"/>
          <w:i/>
          <w:sz w:val="24"/>
          <w:szCs w:val="24"/>
        </w:rPr>
      </w:pPr>
      <w:r w:rsidRPr="00B00A9E">
        <w:rPr>
          <w:rFonts w:ascii="Palatino Linotype" w:hAnsi="Palatino Linotype"/>
          <w:i/>
        </w:rPr>
        <w:t xml:space="preserve">Los sujetos obligados sólo proporcionarán la información pública que se les requiera y que obre en sus archivos y en el estado en que ésta se encuentre. </w:t>
      </w:r>
      <w:r w:rsidRPr="00B00A9E">
        <w:rPr>
          <w:rFonts w:ascii="Palatino Linotype" w:hAnsi="Palatino Linotype"/>
          <w:b/>
          <w:i/>
          <w:u w:val="single"/>
        </w:rPr>
        <w:t>La obligación de proporcionar información no comprende el procesamiento de la misma, ni el presentarla conforme al interés del solicitante; no estarán obligados a generarla, resumirla, efectuar cálculos o practicar investigaciones.</w:t>
      </w:r>
    </w:p>
    <w:p w:rsidR="00B07E50" w:rsidRDefault="00B07E50" w:rsidP="00172F03">
      <w:pPr>
        <w:tabs>
          <w:tab w:val="left" w:pos="8931"/>
        </w:tabs>
        <w:spacing w:before="240" w:line="360" w:lineRule="auto"/>
        <w:ind w:right="51"/>
        <w:jc w:val="both"/>
        <w:rPr>
          <w:rFonts w:ascii="Palatino Linotype" w:hAnsi="Palatino Linotype"/>
          <w:sz w:val="24"/>
          <w:szCs w:val="24"/>
        </w:rPr>
      </w:pPr>
    </w:p>
    <w:p w:rsidR="00B07E50" w:rsidRDefault="00B00A9E"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cual se considera que dicha autoridad respondió de manera adecuada a tal requerimiento, proporcionando los días a los que tiene derecho cada trabajador por concepto de aguinaldo.</w:t>
      </w:r>
    </w:p>
    <w:p w:rsidR="00B00A9E" w:rsidRDefault="00B00A9E"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Sin embargo cabe señalar que el sujeto obligado adjuntó las pólizas de cheques, así como los recibos de finiquitos en versión pública</w:t>
      </w:r>
      <w:r w:rsidR="00FE67A7">
        <w:rPr>
          <w:rFonts w:ascii="Palatino Linotype" w:hAnsi="Palatino Linotype"/>
          <w:sz w:val="24"/>
          <w:szCs w:val="24"/>
        </w:rPr>
        <w:t>, censurando las huellas digitales y la firma del beneficiario que recibe el pago del finiquito, ello sin adjuntar el acuerdo de clasificación que debe emitir el Comité de Transparencia en donde se apruebe la versión pública de dichas documentales, de igual forma cabe precisar que dicha autoridad censuró las firmas de quie</w:t>
      </w:r>
      <w:r w:rsidR="009E44DE">
        <w:rPr>
          <w:rFonts w:ascii="Palatino Linotype" w:hAnsi="Palatino Linotype"/>
          <w:sz w:val="24"/>
          <w:szCs w:val="24"/>
        </w:rPr>
        <w:t>n recibe el pago, motivo por el cual no se tiene por colmado dicho punto.</w:t>
      </w:r>
    </w:p>
    <w:p w:rsidR="009E44DE" w:rsidRDefault="009E44DE"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anterior este Órgano Garante considera dable ordenar al sujeto obligado entregue las pólizas de cheque, así como los recibos de finiquito en versión pública de </w:t>
      </w:r>
      <w:r>
        <w:rPr>
          <w:rFonts w:ascii="Palatino Linotype" w:hAnsi="Palatino Linotype"/>
          <w:sz w:val="24"/>
          <w:szCs w:val="24"/>
        </w:rPr>
        <w:lastRenderedPageBreak/>
        <w:t>ser procedente, dejando visibles las firmas en el supuesto de que el beneficiario sea servidor público. Lo anterior conforme al siguiente punto.</w:t>
      </w:r>
    </w:p>
    <w:p w:rsidR="007C5245" w:rsidRPr="00D6154F" w:rsidRDefault="007C5245" w:rsidP="007C5245">
      <w:pPr>
        <w:pStyle w:val="Prrafodelista"/>
        <w:numPr>
          <w:ilvl w:val="0"/>
          <w:numId w:val="20"/>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7C5245" w:rsidRPr="00D32F71" w:rsidRDefault="007C5245" w:rsidP="007C5245">
      <w:pPr>
        <w:spacing w:line="360" w:lineRule="auto"/>
        <w:ind w:left="709" w:right="141"/>
        <w:jc w:val="both"/>
        <w:rPr>
          <w:rFonts w:ascii="Palatino Linotype" w:hAnsi="Palatino Linotype"/>
          <w:b/>
          <w:i/>
          <w:color w:val="000000"/>
          <w:sz w:val="6"/>
        </w:rPr>
      </w:pPr>
    </w:p>
    <w:p w:rsidR="007C5245" w:rsidRDefault="007C5245" w:rsidP="007C5245">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w:t>
      </w:r>
      <w:r>
        <w:rPr>
          <w:rFonts w:ascii="Palatino Linotype" w:hAnsi="Palatino Linotype" w:cs="Arial"/>
          <w:sz w:val="24"/>
          <w:szCs w:val="24"/>
        </w:rPr>
        <w:t xml:space="preserve">mentos que se ordena su entrega, para el caso de que contenga datos personales deberá realizar la clasificación de la información ya que </w:t>
      </w:r>
      <w:r w:rsidRPr="00822149">
        <w:rPr>
          <w:rFonts w:ascii="Palatino Linotype" w:hAnsi="Palatino Linotype" w:cs="Arial"/>
          <w:sz w:val="24"/>
          <w:szCs w:val="24"/>
        </w:rPr>
        <w:t>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7C5245" w:rsidRDefault="007C5245" w:rsidP="007C5245">
      <w:pPr>
        <w:spacing w:after="0" w:line="360" w:lineRule="auto"/>
        <w:jc w:val="both"/>
        <w:rPr>
          <w:rFonts w:ascii="Palatino Linotype" w:hAnsi="Palatino Linotype" w:cs="Arial"/>
          <w:sz w:val="24"/>
          <w:szCs w:val="24"/>
        </w:rPr>
      </w:pP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7C5245"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7C5245"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7C5245" w:rsidRPr="00A31C1A"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C5245"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lastRenderedPageBreak/>
        <w:t>XLV. Versión pública: Documento en el que se elimine, suprime o borra la información clasificada como reservada o confidencial para permitir su acceso.</w:t>
      </w:r>
    </w:p>
    <w:p w:rsidR="007C5245" w:rsidRDefault="007C5245" w:rsidP="007C5245">
      <w:pPr>
        <w:autoSpaceDE w:val="0"/>
        <w:autoSpaceDN w:val="0"/>
        <w:adjustRightInd w:val="0"/>
        <w:spacing w:after="0" w:line="276" w:lineRule="auto"/>
        <w:ind w:left="567" w:right="284"/>
        <w:jc w:val="both"/>
        <w:rPr>
          <w:rFonts w:ascii="Palatino Linotype" w:hAnsi="Palatino Linotype" w:cs="Arial"/>
          <w:i/>
          <w:szCs w:val="24"/>
        </w:rPr>
      </w:pPr>
    </w:p>
    <w:p w:rsidR="007C5245" w:rsidRPr="00A31C1A" w:rsidRDefault="007C5245" w:rsidP="007C5245">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7C5245" w:rsidRDefault="007C5245" w:rsidP="007C5245">
      <w:pPr>
        <w:autoSpaceDE w:val="0"/>
        <w:autoSpaceDN w:val="0"/>
        <w:adjustRightInd w:val="0"/>
        <w:spacing w:after="0" w:line="276" w:lineRule="auto"/>
        <w:ind w:left="567" w:right="284"/>
        <w:jc w:val="both"/>
        <w:rPr>
          <w:rFonts w:ascii="Palatino Linotype" w:hAnsi="Palatino Linotype" w:cs="Arial"/>
          <w:b/>
          <w:i/>
          <w:szCs w:val="24"/>
        </w:rPr>
      </w:pP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7C5245" w:rsidRPr="007B1AB1" w:rsidRDefault="007C5245" w:rsidP="007C5245">
      <w:pPr>
        <w:autoSpaceDE w:val="0"/>
        <w:autoSpaceDN w:val="0"/>
        <w:adjustRightInd w:val="0"/>
        <w:spacing w:after="0" w:line="360" w:lineRule="auto"/>
        <w:jc w:val="both"/>
        <w:rPr>
          <w:rFonts w:ascii="Palatino Linotype" w:hAnsi="Palatino Linotype" w:cs="Arial"/>
          <w:sz w:val="24"/>
          <w:szCs w:val="24"/>
        </w:rPr>
      </w:pPr>
    </w:p>
    <w:p w:rsidR="007C5245" w:rsidRDefault="007C5245" w:rsidP="007C5245">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C5245" w:rsidRDefault="007C5245" w:rsidP="007C5245">
      <w:pPr>
        <w:autoSpaceDE w:val="0"/>
        <w:autoSpaceDN w:val="0"/>
        <w:adjustRightInd w:val="0"/>
        <w:spacing w:after="0" w:line="240" w:lineRule="auto"/>
        <w:ind w:left="567" w:right="284"/>
        <w:jc w:val="both"/>
        <w:rPr>
          <w:rFonts w:ascii="Palatino Linotype" w:hAnsi="Palatino Linotype" w:cs="Arial"/>
          <w:i/>
          <w:szCs w:val="24"/>
        </w:rPr>
      </w:pPr>
    </w:p>
    <w:p w:rsidR="007C5245" w:rsidRPr="00A31C1A" w:rsidRDefault="007C5245" w:rsidP="007C5245">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7C5245" w:rsidRDefault="007C5245" w:rsidP="007C5245">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7C5245"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7C5245" w:rsidRDefault="007C5245" w:rsidP="007C5245">
      <w:pPr>
        <w:autoSpaceDE w:val="0"/>
        <w:autoSpaceDN w:val="0"/>
        <w:adjustRightInd w:val="0"/>
        <w:spacing w:after="0" w:line="276" w:lineRule="auto"/>
        <w:ind w:left="567" w:right="284"/>
        <w:jc w:val="both"/>
        <w:rPr>
          <w:rFonts w:ascii="Palatino Linotype" w:hAnsi="Palatino Linotype" w:cs="Arial"/>
          <w:i/>
          <w:szCs w:val="24"/>
        </w:rPr>
      </w:pPr>
    </w:p>
    <w:p w:rsidR="007C5245" w:rsidRPr="00E06153" w:rsidRDefault="007C5245" w:rsidP="007C5245">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7C5245" w:rsidRPr="00AD2A55" w:rsidRDefault="007C5245" w:rsidP="007C5245">
      <w:pPr>
        <w:rPr>
          <w:lang w:val="es-ES" w:eastAsia="es-ES"/>
        </w:rPr>
      </w:pP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7C5245" w:rsidRDefault="007C5245" w:rsidP="007C5245">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7C5245" w:rsidRDefault="007C5245" w:rsidP="007C5245">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7C5245" w:rsidRPr="0020745E" w:rsidRDefault="007C5245" w:rsidP="007C5245">
      <w:pPr>
        <w:shd w:val="clear" w:color="auto" w:fill="FFFFFF"/>
        <w:spacing w:after="101" w:line="240" w:lineRule="auto"/>
        <w:ind w:hanging="576"/>
        <w:jc w:val="both"/>
        <w:rPr>
          <w:rFonts w:ascii="Arial" w:eastAsia="Times New Roman" w:hAnsi="Arial" w:cs="Arial"/>
          <w:color w:val="2F2F2F"/>
          <w:sz w:val="18"/>
          <w:szCs w:val="18"/>
          <w:lang w:eastAsia="es-MX"/>
        </w:rPr>
      </w:pP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7C5245" w:rsidRPr="00AD2A55" w:rsidRDefault="007C5245" w:rsidP="007C5245">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7C5245" w:rsidRPr="00AD2A55" w:rsidRDefault="007C5245" w:rsidP="007C5245">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C5245" w:rsidRPr="00AD2A55" w:rsidRDefault="007C5245" w:rsidP="007C5245">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rsidR="007C5245" w:rsidRPr="00AD2A55" w:rsidRDefault="007C5245" w:rsidP="007C5245">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7C5245" w:rsidRDefault="007C5245" w:rsidP="007C5245">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lang w:eastAsia="es-MX"/>
        </w:rPr>
      </w:pPr>
    </w:p>
    <w:p w:rsidR="007C5245" w:rsidRDefault="007C5245" w:rsidP="007C5245">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lastRenderedPageBreak/>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7C5245" w:rsidRPr="00AD2A55" w:rsidRDefault="007C5245" w:rsidP="007C5245">
      <w:pPr>
        <w:autoSpaceDE w:val="0"/>
        <w:autoSpaceDN w:val="0"/>
        <w:adjustRightInd w:val="0"/>
        <w:spacing w:after="0" w:line="360" w:lineRule="auto"/>
        <w:jc w:val="both"/>
        <w:rPr>
          <w:rFonts w:ascii="Palatino Linotype" w:hAnsi="Palatino Linotype" w:cs="Arial"/>
          <w:bCs/>
          <w:sz w:val="24"/>
          <w:szCs w:val="24"/>
        </w:rPr>
      </w:pPr>
    </w:p>
    <w:p w:rsidR="007C5245" w:rsidRDefault="007C5245" w:rsidP="007C5245">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7C5245" w:rsidRPr="00AD2A55" w:rsidRDefault="007C5245" w:rsidP="007C5245">
      <w:pPr>
        <w:autoSpaceDE w:val="0"/>
        <w:autoSpaceDN w:val="0"/>
        <w:adjustRightInd w:val="0"/>
        <w:spacing w:after="0" w:line="360" w:lineRule="auto"/>
        <w:jc w:val="both"/>
        <w:rPr>
          <w:rFonts w:ascii="Palatino Linotype" w:hAnsi="Palatino Linotype" w:cs="Arial"/>
          <w:bCs/>
          <w:sz w:val="24"/>
          <w:szCs w:val="24"/>
        </w:rPr>
      </w:pPr>
    </w:p>
    <w:p w:rsidR="007C5245" w:rsidRDefault="007C5245" w:rsidP="007C5245">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7C5245" w:rsidRDefault="007C5245" w:rsidP="007C5245">
      <w:pPr>
        <w:spacing w:after="0" w:line="360" w:lineRule="auto"/>
        <w:jc w:val="both"/>
        <w:rPr>
          <w:rFonts w:ascii="Palatino Linotype" w:hAnsi="Palatino Linotype" w:cs="Arial"/>
          <w:bCs/>
          <w:sz w:val="24"/>
          <w:szCs w:val="24"/>
        </w:rPr>
      </w:pPr>
    </w:p>
    <w:p w:rsidR="007C5245" w:rsidRDefault="007C5245" w:rsidP="007C5245">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7C5245" w:rsidRPr="00AD2A55" w:rsidRDefault="007C5245" w:rsidP="007C5245">
      <w:pPr>
        <w:spacing w:after="0" w:line="360" w:lineRule="auto"/>
        <w:jc w:val="both"/>
        <w:rPr>
          <w:rFonts w:ascii="Palatino Linotype" w:hAnsi="Palatino Linotype" w:cs="Arial"/>
          <w:bCs/>
          <w:sz w:val="24"/>
          <w:szCs w:val="24"/>
        </w:rPr>
      </w:pPr>
    </w:p>
    <w:p w:rsidR="007C5245" w:rsidRPr="00AD2A55" w:rsidRDefault="007C5245" w:rsidP="007C5245">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7C5245" w:rsidRDefault="007C5245" w:rsidP="007C5245">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7C5245" w:rsidRDefault="007C5245" w:rsidP="007C5245">
      <w:pPr>
        <w:spacing w:after="0" w:line="240" w:lineRule="auto"/>
        <w:ind w:left="851" w:right="850"/>
        <w:jc w:val="both"/>
        <w:rPr>
          <w:rFonts w:ascii="Palatino Linotype" w:hAnsi="Palatino Linotype" w:cs="Arial"/>
          <w:bCs/>
          <w:i/>
          <w:iCs/>
        </w:rPr>
      </w:pPr>
    </w:p>
    <w:p w:rsidR="007C5245" w:rsidRPr="00AD2A55" w:rsidRDefault="007C5245" w:rsidP="007C5245">
      <w:pPr>
        <w:spacing w:after="0" w:line="240" w:lineRule="auto"/>
        <w:ind w:left="851" w:right="850"/>
        <w:jc w:val="both"/>
        <w:rPr>
          <w:rFonts w:ascii="Palatino Linotype" w:hAnsi="Palatino Linotype" w:cs="Arial"/>
          <w:bCs/>
          <w:i/>
          <w:iCs/>
        </w:rPr>
      </w:pPr>
    </w:p>
    <w:p w:rsidR="007C5245" w:rsidRDefault="007C5245" w:rsidP="007C5245">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7C5245" w:rsidRDefault="007C5245" w:rsidP="007C5245"/>
    <w:p w:rsidR="00896E5E" w:rsidRDefault="007C5245" w:rsidP="00646C6F">
      <w:pPr>
        <w:pStyle w:val="Prrafodelista"/>
        <w:spacing w:line="360" w:lineRule="auto"/>
        <w:ind w:left="0" w:right="51"/>
        <w:jc w:val="both"/>
        <w:rPr>
          <w:rFonts w:ascii="Palatino Linotype" w:hAnsi="Palatino Linotype"/>
        </w:rPr>
      </w:pPr>
      <w:r w:rsidRPr="00892269">
        <w:rPr>
          <w:rFonts w:ascii="Palatino Linotype" w:hAnsi="Palatino Linotype" w:cs="Arial"/>
        </w:rPr>
        <w:lastRenderedPageBreak/>
        <w:t>En mérito de lo expuesto en líneas anteriores</w:t>
      </w:r>
      <w:r w:rsidRPr="00892269">
        <w:rPr>
          <w:rFonts w:ascii="Palatino Linotype" w:hAnsi="Palatino Linotype"/>
          <w:noProof/>
          <w:lang w:eastAsia="es-MX"/>
        </w:rPr>
        <w:t xml:space="preserve">, resultan </w:t>
      </w:r>
      <w:r w:rsidR="009E44DE">
        <w:rPr>
          <w:rFonts w:ascii="Palatino Linotype" w:hAnsi="Palatino Linotype"/>
          <w:noProof/>
          <w:lang w:eastAsia="es-MX"/>
        </w:rPr>
        <w:t xml:space="preserve">parcialmente </w:t>
      </w:r>
      <w:r>
        <w:rPr>
          <w:rFonts w:ascii="Palatino Linotype" w:hAnsi="Palatino Linotype"/>
          <w:noProof/>
          <w:lang w:eastAsia="es-MX"/>
        </w:rPr>
        <w:t>fundados</w:t>
      </w:r>
      <w:r w:rsidRPr="00892269">
        <w:rPr>
          <w:rFonts w:ascii="Palatino Linotype" w:hAnsi="Palatino Linotype"/>
          <w:noProof/>
          <w:lang w:eastAsia="es-MX"/>
        </w:rPr>
        <w:t xml:space="preserve"> los motivo</w:t>
      </w:r>
      <w:r w:rsidR="009E44DE">
        <w:rPr>
          <w:rFonts w:ascii="Palatino Linotype" w:hAnsi="Palatino Linotype"/>
          <w:noProof/>
          <w:lang w:eastAsia="es-MX"/>
        </w:rPr>
        <w:t>s de inconformidad que arguye el</w:t>
      </w:r>
      <w:r w:rsidRPr="00892269">
        <w:rPr>
          <w:rFonts w:ascii="Palatino Linotype" w:hAnsi="Palatino Linotype"/>
          <w:noProof/>
          <w:lang w:eastAsia="es-MX"/>
        </w:rPr>
        <w:t xml:space="preserve"> recurrente en su</w:t>
      </w:r>
      <w:r w:rsidR="00AF5754">
        <w:rPr>
          <w:rFonts w:ascii="Palatino Linotype" w:hAnsi="Palatino Linotype"/>
          <w:noProof/>
          <w:lang w:eastAsia="es-MX"/>
        </w:rPr>
        <w:t>s</w:t>
      </w:r>
      <w:r w:rsidRPr="00892269">
        <w:rPr>
          <w:rFonts w:ascii="Palatino Linotype" w:hAnsi="Palatino Linotype"/>
          <w:noProof/>
          <w:lang w:eastAsia="es-MX"/>
        </w:rPr>
        <w:t xml:space="preserve"> medio</w:t>
      </w:r>
      <w:r w:rsidR="00AF5754">
        <w:rPr>
          <w:rFonts w:ascii="Palatino Linotype" w:hAnsi="Palatino Linotype"/>
          <w:noProof/>
          <w:lang w:eastAsia="es-MX"/>
        </w:rPr>
        <w:t>s</w:t>
      </w:r>
      <w:r w:rsidRPr="00892269">
        <w:rPr>
          <w:rFonts w:ascii="Palatino Linotype" w:hAnsi="Palatino Linotype"/>
          <w:noProof/>
          <w:lang w:eastAsia="es-MX"/>
        </w:rPr>
        <w:t xml:space="preserve"> de impugnación que fue</w:t>
      </w:r>
      <w:r w:rsidR="00AF5754">
        <w:rPr>
          <w:rFonts w:ascii="Palatino Linotype" w:hAnsi="Palatino Linotype"/>
          <w:noProof/>
          <w:lang w:eastAsia="es-MX"/>
        </w:rPr>
        <w:t>ron</w:t>
      </w:r>
      <w:r w:rsidRPr="00892269">
        <w:rPr>
          <w:rFonts w:ascii="Palatino Linotype" w:hAnsi="Palatino Linotype"/>
          <w:noProof/>
          <w:lang w:eastAsia="es-MX"/>
        </w:rPr>
        <w:t xml:space="preserve"> materia de es</w:t>
      </w:r>
      <w:r>
        <w:rPr>
          <w:rFonts w:ascii="Palatino Linotype" w:hAnsi="Palatino Linotype"/>
          <w:noProof/>
          <w:lang w:eastAsia="es-MX"/>
        </w:rPr>
        <w:t>t</w:t>
      </w:r>
      <w:r w:rsidRPr="00892269">
        <w:rPr>
          <w:rFonts w:ascii="Palatino Linotype" w:hAnsi="Palatino Linotype"/>
          <w:noProof/>
          <w:lang w:eastAsia="es-MX"/>
        </w:rPr>
        <w:t xml:space="preserve">udio, </w:t>
      </w:r>
      <w:r w:rsidRPr="00892269">
        <w:rPr>
          <w:rFonts w:ascii="Palatino Linotype" w:hAnsi="Palatino Linotype" w:cs="Arial"/>
        </w:rPr>
        <w:t>por ello con fundamento en el artículo 186, fracción</w:t>
      </w:r>
      <w:r>
        <w:rPr>
          <w:rFonts w:ascii="Palatino Linotype" w:hAnsi="Palatino Linotype" w:cs="Arial"/>
        </w:rPr>
        <w:t xml:space="preserve"> II</w:t>
      </w:r>
      <w:r w:rsidRPr="00892269">
        <w:rPr>
          <w:rFonts w:ascii="Palatino Linotype" w:hAnsi="Palatino Linotype" w:cs="Arial"/>
        </w:rPr>
        <w:t xml:space="preserve">I, de la Ley de Transparencia y Acceso a la Información Pública del Estado de </w:t>
      </w:r>
      <w:r w:rsidR="00646C6F">
        <w:rPr>
          <w:rFonts w:ascii="Palatino Linotype" w:hAnsi="Palatino Linotype" w:cs="Arial"/>
        </w:rPr>
        <w:t>México y Municipios, se Modifica</w:t>
      </w:r>
      <w:r w:rsidR="00AF5754">
        <w:rPr>
          <w:rFonts w:ascii="Palatino Linotype" w:hAnsi="Palatino Linotype" w:cs="Arial"/>
        </w:rPr>
        <w:t>n</w:t>
      </w:r>
      <w:r w:rsidRPr="00892269">
        <w:rPr>
          <w:rFonts w:ascii="Palatino Linotype" w:hAnsi="Palatino Linotype" w:cs="Arial"/>
        </w:rPr>
        <w:t xml:space="preserve"> </w:t>
      </w:r>
      <w:r>
        <w:rPr>
          <w:rFonts w:ascii="Palatino Linotype" w:hAnsi="Palatino Linotype" w:cs="Arial"/>
        </w:rPr>
        <w:t>la</w:t>
      </w:r>
      <w:r w:rsidR="00AF5754">
        <w:rPr>
          <w:rFonts w:ascii="Palatino Linotype" w:hAnsi="Palatino Linotype" w:cs="Arial"/>
        </w:rPr>
        <w:t>s</w:t>
      </w:r>
      <w:r>
        <w:rPr>
          <w:rFonts w:ascii="Palatino Linotype" w:hAnsi="Palatino Linotype" w:cs="Arial"/>
        </w:rPr>
        <w:t xml:space="preserve"> respuesta</w:t>
      </w:r>
      <w:r w:rsidR="00AF5754">
        <w:rPr>
          <w:rFonts w:ascii="Palatino Linotype" w:hAnsi="Palatino Linotype" w:cs="Arial"/>
        </w:rPr>
        <w:t>s</w:t>
      </w:r>
      <w:r>
        <w:rPr>
          <w:rFonts w:ascii="Palatino Linotype" w:hAnsi="Palatino Linotype" w:cs="Arial"/>
        </w:rPr>
        <w:t xml:space="preserve"> </w:t>
      </w:r>
      <w:r w:rsidR="00646C6F" w:rsidRPr="00646C6F">
        <w:rPr>
          <w:rFonts w:ascii="Palatino Linotype" w:hAnsi="Palatino Linotype" w:cs="Arial"/>
        </w:rPr>
        <w:t>a la</w:t>
      </w:r>
      <w:r w:rsidR="00AF5754">
        <w:rPr>
          <w:rFonts w:ascii="Palatino Linotype" w:hAnsi="Palatino Linotype" w:cs="Arial"/>
        </w:rPr>
        <w:t>s</w:t>
      </w:r>
      <w:r w:rsidR="00646C6F" w:rsidRPr="00646C6F">
        <w:rPr>
          <w:rFonts w:ascii="Palatino Linotype" w:hAnsi="Palatino Linotype" w:cs="Arial"/>
        </w:rPr>
        <w:t xml:space="preserve"> solicitud</w:t>
      </w:r>
      <w:r w:rsidR="00AF5754">
        <w:rPr>
          <w:rFonts w:ascii="Palatino Linotype" w:hAnsi="Palatino Linotype" w:cs="Arial"/>
        </w:rPr>
        <w:t>es</w:t>
      </w:r>
      <w:r w:rsidR="00646C6F" w:rsidRPr="00646C6F">
        <w:rPr>
          <w:rFonts w:ascii="Palatino Linotype" w:hAnsi="Palatino Linotype" w:cs="Arial"/>
        </w:rPr>
        <w:t xml:space="preserve"> de información número   </w:t>
      </w:r>
      <w:r w:rsidR="00AF5754">
        <w:rPr>
          <w:rFonts w:ascii="Palatino Linotype" w:hAnsi="Palatino Linotype" w:cs="Arial"/>
        </w:rPr>
        <w:t xml:space="preserve"> </w:t>
      </w:r>
      <w:r w:rsidR="00AF5754" w:rsidRPr="00AF5754">
        <w:rPr>
          <w:rFonts w:ascii="Palatino Linotype" w:hAnsi="Palatino Linotype" w:cs="Arial"/>
          <w:b/>
        </w:rPr>
        <w:t>01424/UPVT/IP/2018</w:t>
      </w:r>
      <w:r w:rsidR="00AF5754">
        <w:rPr>
          <w:rFonts w:ascii="Palatino Linotype" w:hAnsi="Palatino Linotype" w:cs="Arial"/>
        </w:rPr>
        <w:t xml:space="preserve"> y </w:t>
      </w:r>
      <w:r w:rsidR="00646C6F">
        <w:rPr>
          <w:rFonts w:ascii="Palatino Linotype" w:hAnsi="Palatino Linotype" w:cs="Arial"/>
          <w:b/>
        </w:rPr>
        <w:t>01448</w:t>
      </w:r>
      <w:r w:rsidR="00646C6F" w:rsidRPr="00B24392">
        <w:rPr>
          <w:rFonts w:ascii="Palatino Linotype" w:hAnsi="Palatino Linotype" w:cs="Arial"/>
          <w:b/>
        </w:rPr>
        <w:t>/UPVT/IP/2018</w:t>
      </w:r>
      <w:r w:rsidR="00646C6F">
        <w:rPr>
          <w:rFonts w:ascii="Palatino Linotype" w:hAnsi="Palatino Linotype" w:cs="Arial"/>
        </w:rPr>
        <w:t xml:space="preserve"> </w:t>
      </w:r>
      <w:r w:rsidR="00646C6F" w:rsidRPr="00646C6F">
        <w:rPr>
          <w:rFonts w:ascii="Palatino Linotype" w:hAnsi="Palatino Linotype" w:cs="Arial"/>
        </w:rPr>
        <w:t>que ha</w:t>
      </w:r>
      <w:r w:rsidR="00AF5754">
        <w:rPr>
          <w:rFonts w:ascii="Palatino Linotype" w:hAnsi="Palatino Linotype" w:cs="Arial"/>
        </w:rPr>
        <w:t>n</w:t>
      </w:r>
      <w:r w:rsidR="00646C6F" w:rsidRPr="00646C6F">
        <w:rPr>
          <w:rFonts w:ascii="Palatino Linotype" w:hAnsi="Palatino Linotype" w:cs="Arial"/>
        </w:rPr>
        <w:t xml:space="preserve"> sido materia del presente fallo.</w:t>
      </w:r>
    </w:p>
    <w:p w:rsidR="00172F03" w:rsidRDefault="00172F03" w:rsidP="00172F03">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8C49D6" w:rsidRDefault="008C49D6" w:rsidP="0045369F">
      <w:pPr>
        <w:autoSpaceDE w:val="0"/>
        <w:autoSpaceDN w:val="0"/>
        <w:adjustRightInd w:val="0"/>
        <w:spacing w:before="240" w:line="360" w:lineRule="auto"/>
        <w:jc w:val="both"/>
        <w:rPr>
          <w:rFonts w:ascii="Palatino Linotype" w:hAnsi="Palatino Linotype" w:cs="Arial"/>
          <w:sz w:val="24"/>
        </w:rPr>
      </w:pPr>
    </w:p>
    <w:p w:rsidR="009E44DE" w:rsidRPr="00AF5754" w:rsidRDefault="00E3099C" w:rsidP="00AF575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6A2B44" w:rsidRPr="00426B79" w:rsidRDefault="00AC5AA9" w:rsidP="00A65386">
      <w:pPr>
        <w:spacing w:before="240" w:line="360" w:lineRule="auto"/>
        <w:jc w:val="both"/>
        <w:rPr>
          <w:rFonts w:ascii="Palatino Linotype" w:hAnsi="Palatino Linotype" w:cs="Arial"/>
          <w:sz w:val="24"/>
          <w:szCs w:val="24"/>
        </w:rPr>
      </w:pPr>
      <w:r>
        <w:rPr>
          <w:rFonts w:ascii="Palatino Linotype" w:hAnsi="Palatino Linotype" w:cs="Arial"/>
          <w:b/>
          <w:sz w:val="28"/>
          <w:szCs w:val="28"/>
          <w:lang w:val="es-ES_tradnl"/>
        </w:rPr>
        <w:t>PRIMERO</w:t>
      </w:r>
      <w:r w:rsidR="006A2B44" w:rsidRPr="00921CA9">
        <w:rPr>
          <w:rFonts w:ascii="Palatino Linotype" w:hAnsi="Palatino Linotype" w:cs="Arial"/>
          <w:b/>
          <w:sz w:val="28"/>
          <w:szCs w:val="28"/>
          <w:lang w:val="es-ES_tradnl"/>
        </w:rPr>
        <w:t>.</w:t>
      </w:r>
      <w:r w:rsidR="006A2B44" w:rsidRPr="00921CA9">
        <w:rPr>
          <w:rFonts w:ascii="Palatino Linotype" w:hAnsi="Palatino Linotype" w:cs="Arial"/>
          <w:lang w:val="es-ES_tradnl"/>
        </w:rPr>
        <w:t xml:space="preserve"> </w:t>
      </w:r>
      <w:r w:rsidR="00976510" w:rsidRPr="00921CA9">
        <w:rPr>
          <w:rFonts w:ascii="Palatino Linotype" w:hAnsi="Palatino Linotype" w:cs="Arial"/>
          <w:sz w:val="24"/>
          <w:szCs w:val="24"/>
          <w:lang w:val="es-ES_tradnl"/>
        </w:rPr>
        <w:t xml:space="preserve">Se </w:t>
      </w:r>
      <w:r w:rsidR="00646C6F">
        <w:rPr>
          <w:rFonts w:ascii="Palatino Linotype" w:hAnsi="Palatino Linotype" w:cs="Arial"/>
          <w:b/>
          <w:sz w:val="24"/>
          <w:szCs w:val="24"/>
          <w:lang w:val="es-ES_tradnl"/>
        </w:rPr>
        <w:t>MODIFICA</w:t>
      </w:r>
      <w:r w:rsidR="00AF5754">
        <w:rPr>
          <w:rFonts w:ascii="Palatino Linotype" w:hAnsi="Palatino Linotype" w:cs="Arial"/>
          <w:b/>
          <w:sz w:val="24"/>
          <w:szCs w:val="24"/>
          <w:lang w:val="es-ES_tradnl"/>
        </w:rPr>
        <w:t>N</w:t>
      </w:r>
      <w:r w:rsidR="00976510" w:rsidRPr="00921CA9">
        <w:rPr>
          <w:rFonts w:ascii="Palatino Linotype" w:hAnsi="Palatino Linotype" w:cs="Arial"/>
          <w:sz w:val="24"/>
          <w:szCs w:val="24"/>
          <w:lang w:val="es-ES_tradnl"/>
        </w:rPr>
        <w:t xml:space="preserve"> </w:t>
      </w:r>
      <w:r w:rsidR="00976510" w:rsidRPr="00921CA9">
        <w:rPr>
          <w:rFonts w:ascii="Palatino Linotype" w:eastAsia="Arial Unicode MS" w:hAnsi="Palatino Linotype" w:cs="Arial"/>
          <w:sz w:val="24"/>
          <w:szCs w:val="24"/>
        </w:rPr>
        <w:t>la</w:t>
      </w:r>
      <w:r w:rsidR="00AF5754">
        <w:rPr>
          <w:rFonts w:ascii="Palatino Linotype" w:eastAsia="Arial Unicode MS" w:hAnsi="Palatino Linotype" w:cs="Arial"/>
          <w:sz w:val="24"/>
          <w:szCs w:val="24"/>
        </w:rPr>
        <w:t>s</w:t>
      </w:r>
      <w:r w:rsidR="00976510" w:rsidRPr="00921CA9">
        <w:rPr>
          <w:rFonts w:ascii="Palatino Linotype" w:eastAsia="Arial Unicode MS" w:hAnsi="Palatino Linotype" w:cs="Arial"/>
          <w:sz w:val="24"/>
          <w:szCs w:val="24"/>
        </w:rPr>
        <w:t xml:space="preserve"> respuesta</w:t>
      </w:r>
      <w:r w:rsidR="00AF5754">
        <w:rPr>
          <w:rFonts w:ascii="Palatino Linotype" w:eastAsia="Arial Unicode MS" w:hAnsi="Palatino Linotype" w:cs="Arial"/>
          <w:sz w:val="24"/>
          <w:szCs w:val="24"/>
        </w:rPr>
        <w:t>s</w:t>
      </w:r>
      <w:r w:rsidR="00976510" w:rsidRPr="00921CA9">
        <w:rPr>
          <w:rFonts w:ascii="Palatino Linotype" w:eastAsia="Arial Unicode MS" w:hAnsi="Palatino Linotype" w:cs="Arial"/>
          <w:sz w:val="24"/>
          <w:szCs w:val="24"/>
        </w:rPr>
        <w:t xml:space="preserve"> entregada</w:t>
      </w:r>
      <w:r w:rsidR="00AF5754">
        <w:rPr>
          <w:rFonts w:ascii="Palatino Linotype" w:eastAsia="Arial Unicode MS" w:hAnsi="Palatino Linotype" w:cs="Arial"/>
          <w:sz w:val="24"/>
          <w:szCs w:val="24"/>
        </w:rPr>
        <w:t>s</w:t>
      </w:r>
      <w:r w:rsidR="00976510" w:rsidRPr="00921CA9">
        <w:rPr>
          <w:rFonts w:ascii="Palatino Linotype" w:eastAsia="Arial Unicode MS" w:hAnsi="Palatino Linotype" w:cs="Arial"/>
          <w:sz w:val="24"/>
          <w:szCs w:val="24"/>
        </w:rPr>
        <w:t xml:space="preserve"> por </w:t>
      </w:r>
      <w:r w:rsidR="00896E5E">
        <w:rPr>
          <w:rFonts w:ascii="Palatino Linotype" w:eastAsia="Arial Unicode MS" w:hAnsi="Palatino Linotype" w:cs="Arial"/>
          <w:b/>
          <w:sz w:val="24"/>
          <w:szCs w:val="24"/>
        </w:rPr>
        <w:t>el sujeto o</w:t>
      </w:r>
      <w:r w:rsidR="00976510" w:rsidRPr="00921CA9">
        <w:rPr>
          <w:rFonts w:ascii="Palatino Linotype" w:eastAsia="Arial Unicode MS" w:hAnsi="Palatino Linotype" w:cs="Arial"/>
          <w:b/>
          <w:sz w:val="24"/>
          <w:szCs w:val="24"/>
        </w:rPr>
        <w:t xml:space="preserve">bligado </w:t>
      </w:r>
      <w:r w:rsidR="00976510" w:rsidRPr="00921CA9">
        <w:rPr>
          <w:rFonts w:ascii="Palatino Linotype" w:eastAsia="Arial Unicode MS" w:hAnsi="Palatino Linotype" w:cs="Arial"/>
          <w:sz w:val="24"/>
          <w:szCs w:val="24"/>
        </w:rPr>
        <w:t>a la</w:t>
      </w:r>
      <w:r w:rsidR="00AF5754">
        <w:rPr>
          <w:rFonts w:ascii="Palatino Linotype" w:eastAsia="Arial Unicode MS" w:hAnsi="Palatino Linotype" w:cs="Arial"/>
          <w:sz w:val="24"/>
          <w:szCs w:val="24"/>
        </w:rPr>
        <w:t>s</w:t>
      </w:r>
      <w:r w:rsidR="00976510" w:rsidRPr="00921CA9">
        <w:rPr>
          <w:rFonts w:ascii="Palatino Linotype" w:eastAsia="Arial Unicode MS" w:hAnsi="Palatino Linotype" w:cs="Arial"/>
          <w:sz w:val="24"/>
          <w:szCs w:val="24"/>
        </w:rPr>
        <w:t xml:space="preserve"> solicitud</w:t>
      </w:r>
      <w:r w:rsidR="00AF5754">
        <w:rPr>
          <w:rFonts w:ascii="Palatino Linotype" w:eastAsia="Arial Unicode MS" w:hAnsi="Palatino Linotype" w:cs="Arial"/>
          <w:sz w:val="24"/>
          <w:szCs w:val="24"/>
        </w:rPr>
        <w:t>es</w:t>
      </w:r>
      <w:r w:rsidR="00976510" w:rsidRPr="00921CA9">
        <w:rPr>
          <w:rFonts w:ascii="Palatino Linotype" w:eastAsia="Arial Unicode MS" w:hAnsi="Palatino Linotype" w:cs="Arial"/>
          <w:sz w:val="24"/>
          <w:szCs w:val="24"/>
        </w:rPr>
        <w:t xml:space="preserve"> de información número</w:t>
      </w:r>
      <w:r w:rsidR="00976510">
        <w:rPr>
          <w:rFonts w:ascii="Palatino Linotype" w:eastAsia="Arial Unicode MS" w:hAnsi="Palatino Linotype" w:cs="Arial"/>
          <w:sz w:val="24"/>
          <w:szCs w:val="24"/>
        </w:rPr>
        <w:t xml:space="preserve"> </w:t>
      </w:r>
      <w:r w:rsidR="00AF5754" w:rsidRPr="00AF5754">
        <w:rPr>
          <w:rFonts w:ascii="Palatino Linotype" w:eastAsia="Arial Unicode MS" w:hAnsi="Palatino Linotype" w:cs="Arial"/>
          <w:b/>
          <w:sz w:val="24"/>
          <w:szCs w:val="24"/>
        </w:rPr>
        <w:t>01424/UPVT/IP/2018</w:t>
      </w:r>
      <w:r w:rsidR="00AF5754">
        <w:rPr>
          <w:rFonts w:ascii="Palatino Linotype" w:eastAsia="Arial Unicode MS" w:hAnsi="Palatino Linotype" w:cs="Arial"/>
          <w:b/>
          <w:sz w:val="24"/>
          <w:szCs w:val="24"/>
        </w:rPr>
        <w:t xml:space="preserve"> y</w:t>
      </w:r>
      <w:r w:rsidR="00896E5E" w:rsidRPr="00896E5E">
        <w:rPr>
          <w:rFonts w:ascii="Palatino Linotype" w:hAnsi="Palatino Linotype" w:cs="Arial"/>
          <w:b/>
          <w:sz w:val="24"/>
        </w:rPr>
        <w:t xml:space="preserve"> </w:t>
      </w:r>
      <w:r w:rsidR="00646C6F">
        <w:rPr>
          <w:rFonts w:ascii="Palatino Linotype" w:hAnsi="Palatino Linotype" w:cs="Arial"/>
          <w:b/>
          <w:sz w:val="24"/>
        </w:rPr>
        <w:t>01448</w:t>
      </w:r>
      <w:r w:rsidR="00646C6F" w:rsidRPr="00B24392">
        <w:rPr>
          <w:rFonts w:ascii="Palatino Linotype" w:hAnsi="Palatino Linotype" w:cs="Arial"/>
          <w:b/>
          <w:sz w:val="24"/>
        </w:rPr>
        <w:t>/UPVT/IP/2018</w:t>
      </w:r>
      <w:r w:rsidR="00896E5E">
        <w:rPr>
          <w:rFonts w:ascii="Palatino Linotype" w:eastAsia="Arial Unicode MS" w:hAnsi="Palatino Linotype" w:cs="Arial"/>
          <w:sz w:val="24"/>
          <w:szCs w:val="24"/>
        </w:rPr>
        <w:t>, por resultar</w:t>
      </w:r>
      <w:r w:rsidR="00646C6F">
        <w:rPr>
          <w:rFonts w:ascii="Palatino Linotype" w:eastAsia="Arial Unicode MS" w:hAnsi="Palatino Linotype" w:cs="Arial"/>
          <w:sz w:val="24"/>
          <w:szCs w:val="24"/>
        </w:rPr>
        <w:t xml:space="preserve"> parcialmente</w:t>
      </w:r>
      <w:r w:rsidR="00976510">
        <w:rPr>
          <w:rFonts w:ascii="Palatino Linotype" w:eastAsia="Arial Unicode MS" w:hAnsi="Palatino Linotype" w:cs="Arial"/>
          <w:sz w:val="24"/>
          <w:szCs w:val="24"/>
        </w:rPr>
        <w:t xml:space="preserve"> </w:t>
      </w:r>
      <w:r w:rsidR="00976510" w:rsidRPr="00921CA9">
        <w:rPr>
          <w:rFonts w:ascii="Palatino Linotype" w:eastAsia="Arial Unicode MS" w:hAnsi="Palatino Linotype" w:cs="Arial"/>
          <w:sz w:val="24"/>
          <w:szCs w:val="24"/>
        </w:rPr>
        <w:t>fundados</w:t>
      </w:r>
      <w:r w:rsidR="00976510">
        <w:rPr>
          <w:rFonts w:ascii="Palatino Linotype" w:eastAsia="Arial Unicode MS" w:hAnsi="Palatino Linotype" w:cs="Arial"/>
          <w:sz w:val="24"/>
          <w:szCs w:val="24"/>
        </w:rPr>
        <w:t xml:space="preserve"> </w:t>
      </w:r>
      <w:r w:rsidR="00976510" w:rsidRPr="00921CA9">
        <w:rPr>
          <w:rFonts w:ascii="Palatino Linotype" w:eastAsia="Arial Unicode MS" w:hAnsi="Palatino Linotype" w:cs="Arial"/>
          <w:sz w:val="24"/>
          <w:szCs w:val="24"/>
        </w:rPr>
        <w:t xml:space="preserve">los motivos de inconformidad que arguye </w:t>
      </w:r>
      <w:r w:rsidR="00646C6F">
        <w:rPr>
          <w:rFonts w:ascii="Palatino Linotype" w:eastAsia="Arial Unicode MS" w:hAnsi="Palatino Linotype" w:cs="Arial"/>
          <w:b/>
          <w:sz w:val="24"/>
          <w:szCs w:val="24"/>
        </w:rPr>
        <w:t>el</w:t>
      </w:r>
      <w:r w:rsidR="00976510">
        <w:rPr>
          <w:rFonts w:ascii="Palatino Linotype" w:eastAsia="Arial Unicode MS" w:hAnsi="Palatino Linotype" w:cs="Arial"/>
          <w:b/>
          <w:sz w:val="24"/>
          <w:szCs w:val="24"/>
        </w:rPr>
        <w:t xml:space="preserve"> r</w:t>
      </w:r>
      <w:r w:rsidR="00976510" w:rsidRPr="00ED005B">
        <w:rPr>
          <w:rFonts w:ascii="Palatino Linotype" w:eastAsia="Arial Unicode MS" w:hAnsi="Palatino Linotype" w:cs="Arial"/>
          <w:b/>
          <w:sz w:val="24"/>
          <w:szCs w:val="24"/>
        </w:rPr>
        <w:t>ecurrente</w:t>
      </w:r>
      <w:r w:rsidR="00976510" w:rsidRPr="00921CA9">
        <w:rPr>
          <w:rFonts w:ascii="Palatino Linotype" w:eastAsia="Arial Unicode MS" w:hAnsi="Palatino Linotype" w:cs="Arial"/>
          <w:sz w:val="24"/>
          <w:szCs w:val="24"/>
        </w:rPr>
        <w:t>, en términos del</w:t>
      </w:r>
      <w:r w:rsidR="00976510" w:rsidRPr="00921CA9">
        <w:rPr>
          <w:rFonts w:ascii="Palatino Linotype" w:eastAsia="Arial Unicode MS" w:hAnsi="Palatino Linotype" w:cs="Arial"/>
          <w:b/>
          <w:sz w:val="24"/>
          <w:szCs w:val="24"/>
        </w:rPr>
        <w:t xml:space="preserve"> </w:t>
      </w:r>
      <w:r w:rsidR="00976510" w:rsidRPr="00412EBF">
        <w:rPr>
          <w:rFonts w:ascii="Palatino Linotype" w:hAnsi="Palatino Linotype" w:cs="Arial"/>
          <w:sz w:val="24"/>
          <w:szCs w:val="24"/>
        </w:rPr>
        <w:t>considerando</w:t>
      </w:r>
      <w:r w:rsidR="00976510">
        <w:rPr>
          <w:rFonts w:ascii="Palatino Linotype" w:hAnsi="Palatino Linotype" w:cs="Arial"/>
          <w:b/>
          <w:sz w:val="24"/>
          <w:szCs w:val="24"/>
        </w:rPr>
        <w:t xml:space="preserve"> cuarto</w:t>
      </w:r>
      <w:r w:rsidR="00976510" w:rsidRPr="00921CA9">
        <w:rPr>
          <w:rFonts w:ascii="Palatino Linotype" w:hAnsi="Palatino Linotype" w:cs="Arial"/>
          <w:sz w:val="24"/>
          <w:szCs w:val="24"/>
        </w:rPr>
        <w:t xml:space="preserve"> de la presente resolución.</w:t>
      </w:r>
    </w:p>
    <w:p w:rsidR="00896E5E" w:rsidRDefault="006A2B44" w:rsidP="00896E5E">
      <w:pPr>
        <w:autoSpaceDE w:val="0"/>
        <w:autoSpaceDN w:val="0"/>
        <w:adjustRightInd w:val="0"/>
        <w:spacing w:before="240" w:line="360" w:lineRule="auto"/>
        <w:ind w:right="49"/>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896E5E">
        <w:rPr>
          <w:rFonts w:ascii="Palatino Linotype" w:hAnsi="Palatino Linotype" w:cs="Arial"/>
          <w:sz w:val="24"/>
          <w:lang w:eastAsia="es-MX"/>
        </w:rPr>
        <w:t>Se ordena al sujeto obligado, haga entrega a</w:t>
      </w:r>
      <w:r w:rsidR="00AF5754">
        <w:rPr>
          <w:rFonts w:ascii="Palatino Linotype" w:hAnsi="Palatino Linotype" w:cs="Arial"/>
          <w:sz w:val="24"/>
          <w:lang w:eastAsia="es-MX"/>
        </w:rPr>
        <w:t>l</w:t>
      </w:r>
      <w:r w:rsidR="00896E5E">
        <w:rPr>
          <w:rFonts w:ascii="Palatino Linotype" w:hAnsi="Palatino Linotype" w:cs="Arial"/>
          <w:sz w:val="24"/>
          <w:lang w:eastAsia="es-MX"/>
        </w:rPr>
        <w:t xml:space="preserve"> recurrente a través del SAIMEX, en versión pública de ser procedente, en términos del considerando </w:t>
      </w:r>
      <w:r w:rsidR="00896E5E" w:rsidRPr="00976510">
        <w:rPr>
          <w:rFonts w:ascii="Palatino Linotype" w:hAnsi="Palatino Linotype" w:cs="Arial"/>
          <w:b/>
          <w:sz w:val="24"/>
          <w:lang w:eastAsia="es-MX"/>
        </w:rPr>
        <w:t>cuarto</w:t>
      </w:r>
      <w:r w:rsidR="00896E5E">
        <w:rPr>
          <w:rFonts w:ascii="Palatino Linotype" w:hAnsi="Palatino Linotype" w:cs="Arial"/>
          <w:sz w:val="24"/>
          <w:lang w:eastAsia="es-MX"/>
        </w:rPr>
        <w:t xml:space="preserve"> de la presente resolución, de lo siguiente:</w:t>
      </w:r>
    </w:p>
    <w:p w:rsidR="00AF5754" w:rsidRPr="00AF5754" w:rsidRDefault="00AF5754" w:rsidP="00646C6F">
      <w:pPr>
        <w:pStyle w:val="Prrafodelista"/>
        <w:numPr>
          <w:ilvl w:val="0"/>
          <w:numId w:val="21"/>
        </w:numPr>
        <w:autoSpaceDE w:val="0"/>
        <w:autoSpaceDN w:val="0"/>
        <w:adjustRightInd w:val="0"/>
        <w:spacing w:before="240" w:line="360" w:lineRule="auto"/>
        <w:ind w:right="49"/>
        <w:jc w:val="both"/>
        <w:rPr>
          <w:rFonts w:ascii="Palatino Linotype" w:hAnsi="Palatino Linotype" w:cs="Arial"/>
          <w:lang w:eastAsia="es-MX"/>
        </w:rPr>
      </w:pPr>
      <w:r w:rsidRPr="00AF5754">
        <w:rPr>
          <w:rFonts w:ascii="Palatino Linotype" w:hAnsi="Palatino Linotype" w:cs="Arial"/>
          <w:lang w:eastAsia="es-MX"/>
        </w:rPr>
        <w:t xml:space="preserve">El o los finiquitos pagados a la servidora pública referida en la respuesta otorgada a la solicitud número </w:t>
      </w:r>
      <w:r w:rsidRPr="00AF5754">
        <w:rPr>
          <w:rFonts w:ascii="Palatino Linotype" w:eastAsia="Arial Unicode MS" w:hAnsi="Palatino Linotype" w:cs="Arial"/>
          <w:b/>
        </w:rPr>
        <w:t>01424/UPVT/IP/2018</w:t>
      </w:r>
      <w:r w:rsidR="001E27CB">
        <w:rPr>
          <w:rFonts w:ascii="Palatino Linotype" w:eastAsia="Arial Unicode MS" w:hAnsi="Palatino Linotype" w:cs="Arial"/>
          <w:b/>
        </w:rPr>
        <w:t xml:space="preserve">, </w:t>
      </w:r>
      <w:r w:rsidR="001E27CB">
        <w:rPr>
          <w:rFonts w:ascii="Palatino Linotype" w:eastAsia="Arial Unicode MS" w:hAnsi="Palatino Linotype" w:cs="Arial"/>
        </w:rPr>
        <w:t>por el periodo comprendido de mayo de 2013 a octubre de 2018.</w:t>
      </w:r>
    </w:p>
    <w:p w:rsidR="00646C6F" w:rsidRPr="00646C6F" w:rsidRDefault="00646C6F" w:rsidP="00AF5754">
      <w:pPr>
        <w:pStyle w:val="Prrafodelista"/>
        <w:numPr>
          <w:ilvl w:val="0"/>
          <w:numId w:val="21"/>
        </w:numPr>
        <w:autoSpaceDE w:val="0"/>
        <w:autoSpaceDN w:val="0"/>
        <w:adjustRightInd w:val="0"/>
        <w:spacing w:before="240" w:line="360" w:lineRule="auto"/>
        <w:ind w:right="49"/>
        <w:jc w:val="both"/>
        <w:rPr>
          <w:rFonts w:ascii="Palatino Linotype" w:hAnsi="Palatino Linotype" w:cs="Arial"/>
          <w:i/>
          <w:lang w:eastAsia="es-MX"/>
        </w:rPr>
      </w:pPr>
      <w:r>
        <w:rPr>
          <w:rFonts w:ascii="Palatino Linotype" w:hAnsi="Palatino Linotype" w:cs="Arial"/>
          <w:lang w:eastAsia="es-MX"/>
        </w:rPr>
        <w:lastRenderedPageBreak/>
        <w:t>Las pólizas de cheque y los recibos de finiquito entreg</w:t>
      </w:r>
      <w:r w:rsidR="00AF5754">
        <w:rPr>
          <w:rFonts w:ascii="Palatino Linotype" w:hAnsi="Palatino Linotype" w:cs="Arial"/>
          <w:lang w:eastAsia="es-MX"/>
        </w:rPr>
        <w:t xml:space="preserve">ados en la respuesta a la solicitud número </w:t>
      </w:r>
      <w:r w:rsidR="00AF5754" w:rsidRPr="00AF5754">
        <w:rPr>
          <w:rFonts w:ascii="Palatino Linotype" w:hAnsi="Palatino Linotype" w:cs="Arial"/>
          <w:b/>
          <w:lang w:eastAsia="es-MX"/>
        </w:rPr>
        <w:t>01448/UPVT/IP/2018</w:t>
      </w:r>
    </w:p>
    <w:p w:rsidR="002A3C76" w:rsidRDefault="00646C6F" w:rsidP="00AF5754">
      <w:pPr>
        <w:pStyle w:val="Prrafodelista"/>
        <w:autoSpaceDE w:val="0"/>
        <w:autoSpaceDN w:val="0"/>
        <w:adjustRightInd w:val="0"/>
        <w:spacing w:before="240" w:line="360" w:lineRule="auto"/>
        <w:ind w:left="720" w:right="49"/>
        <w:jc w:val="both"/>
        <w:rPr>
          <w:rFonts w:ascii="Palatino Linotype" w:hAnsi="Palatino Linotype" w:cs="Arial"/>
          <w:i/>
          <w:lang w:eastAsia="es-MX"/>
        </w:rPr>
      </w:pPr>
      <w:r w:rsidRPr="00152B5B">
        <w:rPr>
          <w:rFonts w:ascii="Palatino Linotype" w:hAnsi="Palatino Linotype" w:cs="Arial"/>
          <w:i/>
          <w:lang w:eastAsia="es-MX"/>
        </w:rPr>
        <w:t xml:space="preserve"> </w:t>
      </w:r>
      <w:r w:rsidR="00896E5E" w:rsidRPr="00152B5B">
        <w:rPr>
          <w:rFonts w:ascii="Palatino Linotype" w:hAnsi="Palatino Linotype" w:cs="Arial"/>
          <w:i/>
          <w:lang w:eastAsia="es-MX"/>
        </w:rPr>
        <w:t xml:space="preserve">Para la entrega en versión pública de la información deberá emitir el Acuerdo del Comité de Transparencia en términos de </w:t>
      </w:r>
      <w:r w:rsidR="00896E5E" w:rsidRPr="00152B5B">
        <w:rPr>
          <w:rFonts w:ascii="Palatino Linotype" w:hAnsi="Palatino Linotype"/>
          <w:i/>
        </w:rPr>
        <w:t>lo señalado en el Considerando Cuarto y en los artículos 49, fracción VIII, 132, fracción II de la Ley de Transparencia y Acceso a la Información Pública del Estado de México y Municipios y demás normatividades aplicables, en el que funde y motive las razones sobre los datos que se supriman o eliminen y se ponga a disposición de la recurrente, por la información confidencial.</w:t>
      </w:r>
    </w:p>
    <w:p w:rsidR="00AF5754" w:rsidRPr="00AF5754" w:rsidRDefault="00AF5754" w:rsidP="00AF5754">
      <w:pPr>
        <w:pStyle w:val="Prrafodelista"/>
        <w:autoSpaceDE w:val="0"/>
        <w:autoSpaceDN w:val="0"/>
        <w:adjustRightInd w:val="0"/>
        <w:spacing w:before="240" w:line="360" w:lineRule="auto"/>
        <w:ind w:left="720" w:right="49"/>
        <w:jc w:val="both"/>
        <w:rPr>
          <w:rFonts w:ascii="Palatino Linotype" w:hAnsi="Palatino Linotype" w:cs="Arial"/>
          <w:i/>
          <w:lang w:eastAsia="es-MX"/>
        </w:rPr>
      </w:pPr>
      <w:r>
        <w:rPr>
          <w:rFonts w:ascii="Palatino Linotype" w:hAnsi="Palatino Linotype" w:cs="Arial"/>
          <w:i/>
          <w:lang w:eastAsia="es-MX"/>
        </w:rPr>
        <w:t>Por lo que hace el punto 1, en caso de que el sujeto obligado solamente haya generado un solo finiquito y este haya sido el referido en la respuesta a dicha solicitud, bastará con que así lo haga del conocimiento al recurrente.</w:t>
      </w:r>
    </w:p>
    <w:p w:rsidR="006A2B44" w:rsidRDefault="006A2B44" w:rsidP="00A65386">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7903D7" w:rsidRPr="00896E5E" w:rsidRDefault="006A2B44" w:rsidP="00A65386">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646C6F">
        <w:rPr>
          <w:rFonts w:ascii="Palatino Linotype" w:hAnsi="Palatino Linotype" w:cs="Arial"/>
          <w:sz w:val="24"/>
          <w:szCs w:val="24"/>
        </w:rPr>
        <w:t xml:space="preserve"> al</w:t>
      </w:r>
      <w:r>
        <w:rPr>
          <w:rFonts w:ascii="Palatino Linotype" w:hAnsi="Palatino Linotype" w:cs="Arial"/>
          <w:sz w:val="24"/>
          <w:szCs w:val="24"/>
        </w:rPr>
        <w:t xml:space="preserve"> recurrente la presente resolución</w:t>
      </w:r>
      <w:r w:rsidR="00896E5E">
        <w:rPr>
          <w:rFonts w:ascii="Palatino Linotype" w:hAnsi="Palatino Linotype" w:cs="Arial"/>
          <w:sz w:val="24"/>
          <w:szCs w:val="24"/>
        </w:rPr>
        <w:t xml:space="preserve"> y h</w:t>
      </w:r>
      <w:r w:rsidR="00C54065">
        <w:rPr>
          <w:rFonts w:ascii="Palatino Linotype" w:hAnsi="Palatino Linotype" w:cs="Arial"/>
          <w:sz w:val="24"/>
          <w:szCs w:val="24"/>
        </w:rPr>
        <w:t>ágase</w:t>
      </w:r>
      <w:r w:rsidR="00503028">
        <w:rPr>
          <w:rFonts w:ascii="Palatino Linotype" w:hAnsi="Palatino Linotype" w:cs="Arial"/>
          <w:sz w:val="24"/>
          <w:szCs w:val="24"/>
        </w:rPr>
        <w:t xml:space="preserve"> de su </w:t>
      </w:r>
      <w:r w:rsidR="00426B79">
        <w:rPr>
          <w:rFonts w:ascii="Palatino Linotype" w:hAnsi="Palatino Linotype" w:cs="Arial"/>
          <w:sz w:val="24"/>
          <w:szCs w:val="24"/>
        </w:rPr>
        <w:t>conocimiento</w:t>
      </w:r>
      <w:r w:rsidR="00426B79" w:rsidRPr="00426B79">
        <w:rPr>
          <w:rFonts w:ascii="Palatino Linotype" w:hAnsi="Palatino Linotype" w:cs="Arial"/>
          <w:sz w:val="24"/>
          <w:szCs w:val="24"/>
        </w:rPr>
        <w:t xml:space="preserve"> que, de conformidad con lo establecido en el artículo 196 de la Ley de Transparencia y Acceso a la Información Pública del Estado de México y Municipios, </w:t>
      </w:r>
      <w:r w:rsidR="00426B79" w:rsidRPr="00426B79">
        <w:rPr>
          <w:rFonts w:ascii="Palatino Linotype" w:hAnsi="Palatino Linotype" w:cs="Arial"/>
          <w:sz w:val="24"/>
          <w:szCs w:val="24"/>
        </w:rPr>
        <w:lastRenderedPageBreak/>
        <w:t>en caso de que considere que la resolución le cause algún perjuicio podrá impugnarla vía juicio de amparo en los términos de las leyes aplicables.</w:t>
      </w:r>
    </w:p>
    <w:p w:rsidR="00F36D4A" w:rsidRPr="00FB722E" w:rsidRDefault="00F562AE" w:rsidP="00FF77E7">
      <w:pPr>
        <w:spacing w:before="240"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4384" behindDoc="0" locked="0" layoutInCell="1" allowOverlap="1">
                <wp:simplePos x="0" y="0"/>
                <wp:positionH relativeFrom="column">
                  <wp:posOffset>34290</wp:posOffset>
                </wp:positionH>
                <wp:positionV relativeFrom="paragraph">
                  <wp:posOffset>2355849</wp:posOffset>
                </wp:positionV>
                <wp:extent cx="5791200" cy="433387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5791200" cy="433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D332B8" id="Conector recto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185.5pt" to="458.7pt,5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" strokecolor="black [3200]" strokeweight=".5pt">
                <v:stroke joinstyle="miter"/>
              </v:line>
            </w:pict>
          </mc:Fallback>
        </mc:AlternateContent>
      </w:r>
      <w:r w:rsidR="00E3099C" w:rsidRPr="007D53C0">
        <w:rPr>
          <w:rFonts w:ascii="Palatino Linotype" w:hAnsi="Palatino Linotype" w:cs="Arial"/>
        </w:rPr>
        <w:t xml:space="preserve">ASÍ LO RESUELVE, POR </w:t>
      </w:r>
      <w:r w:rsidR="00E3099C">
        <w:rPr>
          <w:rFonts w:ascii="Palatino Linotype" w:hAnsi="Palatino Linotype" w:cs="Arial"/>
        </w:rPr>
        <w:t>UNANIMIDAD DE VOTOS</w:t>
      </w:r>
      <w:r w:rsidR="00E3099C" w:rsidRPr="007D53C0">
        <w:rPr>
          <w:rFonts w:ascii="Palatino Linotype" w:hAnsi="Palatino Linotype" w:cs="Arial"/>
        </w:rPr>
        <w:t xml:space="preserve"> EL PLENO DEL</w:t>
      </w:r>
      <w:r w:rsidR="00E3099C" w:rsidRPr="007D53C0">
        <w:rPr>
          <w:rFonts w:ascii="Palatino Linotype" w:eastAsia="Arial Unicode MS" w:hAnsi="Palatino Linotype" w:cs="Arial"/>
        </w:rPr>
        <w:t xml:space="preserve"> </w:t>
      </w:r>
      <w:r w:rsidR="00E3099C">
        <w:rPr>
          <w:rFonts w:ascii="Palatino Linotype" w:eastAsia="Arial Unicode MS" w:hAnsi="Palatino Linotype" w:cs="Arial"/>
        </w:rPr>
        <w:t>INSTITUTO DE TRANSPARENCIA, ACCESO A LA INFORMACIÓN PÚBLICA Y PROTECCIÓN DE DATOS PERSONALES DEL ESTADO DE MÉXICO Y MUNICIPIOS</w:t>
      </w:r>
      <w:r w:rsidR="00E3099C" w:rsidRPr="007D53C0">
        <w:rPr>
          <w:rFonts w:ascii="Palatino Linotype" w:hAnsi="Palatino Linotype" w:cs="Arial"/>
        </w:rPr>
        <w:t xml:space="preserve">, CONFORMADO POR LOS COMISIONADOS </w:t>
      </w:r>
      <w:r w:rsidR="00E3099C" w:rsidRPr="00277BC2">
        <w:rPr>
          <w:rFonts w:ascii="Palatino Linotype" w:hAnsi="Palatino Linotype" w:cs="Arial"/>
        </w:rPr>
        <w:t>ZULEMA MARTÍNEZ SÁNCHEZ, EVA ABAID YAPUR,</w:t>
      </w:r>
      <w:r w:rsidR="007E4B6C">
        <w:rPr>
          <w:rFonts w:ascii="Palatino Linotype" w:hAnsi="Palatino Linotype" w:cs="Arial"/>
        </w:rPr>
        <w:t xml:space="preserve"> JOSÉ GUADALUPE LUNA HERNÁNDEZ</w:t>
      </w:r>
      <w:r>
        <w:rPr>
          <w:rFonts w:ascii="Palatino Linotype" w:hAnsi="Palatino Linotype" w:cs="Arial"/>
        </w:rPr>
        <w:t xml:space="preserve"> EMITIENDO VOTO PARTICULAR</w:t>
      </w:r>
      <w:r w:rsidR="007E4B6C">
        <w:rPr>
          <w:rFonts w:ascii="Palatino Linotype" w:hAnsi="Palatino Linotype" w:cs="Arial"/>
        </w:rPr>
        <w:t>,</w:t>
      </w:r>
      <w:r w:rsidR="0099266B">
        <w:rPr>
          <w:rFonts w:ascii="Palatino Linotype" w:hAnsi="Palatino Linotype" w:cs="Arial"/>
        </w:rPr>
        <w:t xml:space="preserve"> </w:t>
      </w:r>
      <w:r w:rsidR="00E3099C" w:rsidRPr="00277BC2">
        <w:rPr>
          <w:rFonts w:ascii="Palatino Linotype" w:hAnsi="Palatino Linotype" w:cs="Arial"/>
        </w:rPr>
        <w:t>JAVI</w:t>
      </w:r>
      <w:r w:rsidR="00057C41" w:rsidRPr="00277BC2">
        <w:rPr>
          <w:rFonts w:ascii="Palatino Linotype" w:hAnsi="Palatino Linotype" w:cs="Arial"/>
        </w:rPr>
        <w:t>ER MARTÍNEZ CRUZ</w:t>
      </w:r>
      <w:r w:rsidR="007E4B6C">
        <w:rPr>
          <w:rFonts w:ascii="Palatino Linotype" w:hAnsi="Palatino Linotype" w:cs="Arial"/>
        </w:rPr>
        <w:t xml:space="preserve"> </w:t>
      </w:r>
      <w:r w:rsidR="007E4B6C" w:rsidRPr="007E4B6C">
        <w:rPr>
          <w:rFonts w:ascii="Palatino Linotype" w:hAnsi="Palatino Linotype" w:cs="Arial"/>
        </w:rPr>
        <w:t>Y LUIS GUSTAVO PARRA NORIEGA</w:t>
      </w:r>
      <w:r w:rsidR="00057C41" w:rsidRPr="00277BC2">
        <w:rPr>
          <w:rFonts w:ascii="Palatino Linotype" w:hAnsi="Palatino Linotype" w:cs="Arial"/>
        </w:rPr>
        <w:t xml:space="preserve"> </w:t>
      </w:r>
      <w:r w:rsidR="00D46920">
        <w:rPr>
          <w:rFonts w:ascii="Palatino Linotype" w:hAnsi="Palatino Linotype" w:cs="Arial"/>
        </w:rPr>
        <w:t xml:space="preserve">EN LA </w:t>
      </w:r>
      <w:r>
        <w:rPr>
          <w:rFonts w:ascii="Palatino Linotype" w:hAnsi="Palatino Linotype" w:cs="Arial"/>
        </w:rPr>
        <w:t>CUARTA</w:t>
      </w:r>
      <w:r w:rsidR="00277BC2" w:rsidRPr="00277BC2">
        <w:rPr>
          <w:rFonts w:ascii="Palatino Linotype" w:hAnsi="Palatino Linotype" w:cs="Arial"/>
        </w:rPr>
        <w:t xml:space="preserve"> </w:t>
      </w:r>
      <w:r w:rsidR="00E3099C" w:rsidRPr="00277BC2">
        <w:rPr>
          <w:rFonts w:ascii="Palatino Linotype" w:hAnsi="Palatino Linotype" w:cs="Arial"/>
        </w:rPr>
        <w:t xml:space="preserve">SESIÓN ORDINARIA CELEBRADA EL </w:t>
      </w:r>
      <w:r>
        <w:rPr>
          <w:rFonts w:ascii="Palatino Linotype" w:hAnsi="Palatino Linotype" w:cs="Arial"/>
        </w:rPr>
        <w:t>TREINTA</w:t>
      </w:r>
      <w:r w:rsidR="007A6C25">
        <w:rPr>
          <w:rFonts w:ascii="Palatino Linotype" w:hAnsi="Palatino Linotype" w:cs="Arial"/>
        </w:rPr>
        <w:t xml:space="preserve"> DE </w:t>
      </w:r>
      <w:r>
        <w:rPr>
          <w:rFonts w:ascii="Palatino Linotype" w:hAnsi="Palatino Linotype" w:cs="Arial"/>
        </w:rPr>
        <w:t>ENERO DE DOS MIL DIECINUEVE</w:t>
      </w:r>
      <w:r w:rsidR="006B7634" w:rsidRPr="00277BC2">
        <w:rPr>
          <w:rFonts w:ascii="Palatino Linotype" w:hAnsi="Palatino Linotype" w:cs="Arial"/>
        </w:rPr>
        <w:t>, ANTE EL</w:t>
      </w:r>
      <w:r w:rsidR="00277BC2" w:rsidRPr="00277BC2">
        <w:rPr>
          <w:rFonts w:ascii="Palatino Linotype" w:hAnsi="Palatino Linotype" w:cs="Arial"/>
        </w:rPr>
        <w:t xml:space="preserve"> SECRETARIO TÉCNICO</w:t>
      </w:r>
      <w:r w:rsidR="00E3099C" w:rsidRPr="00277BC2">
        <w:rPr>
          <w:rFonts w:ascii="Palatino Linotype" w:hAnsi="Palatino Linotype" w:cs="Arial"/>
        </w:rPr>
        <w:t xml:space="preserve"> DEL PLENO, </w:t>
      </w:r>
      <w:r w:rsidR="00715CD7">
        <w:rPr>
          <w:rFonts w:ascii="Palatino Linotype" w:hAnsi="Palatino Linotype" w:cs="Arial"/>
        </w:rPr>
        <w:t xml:space="preserve">ALEXIS TAPIA RAMÍREZ. </w:t>
      </w:r>
    </w:p>
    <w:p w:rsidR="00C54065" w:rsidRDefault="00C54065" w:rsidP="00E3099C">
      <w:pPr>
        <w:spacing w:before="240"/>
        <w:jc w:val="both"/>
        <w:rPr>
          <w:rFonts w:ascii="Palatino Linotype" w:hAnsi="Palatino Linotype"/>
          <w:b/>
        </w:rPr>
      </w:pPr>
    </w:p>
    <w:p w:rsidR="00390DED" w:rsidRDefault="00390DED" w:rsidP="00E3099C">
      <w:pPr>
        <w:spacing w:before="240"/>
        <w:jc w:val="both"/>
        <w:rPr>
          <w:rFonts w:ascii="Palatino Linotype" w:hAnsi="Palatino Linotype"/>
          <w:b/>
        </w:rPr>
      </w:pPr>
    </w:p>
    <w:p w:rsidR="00D46920" w:rsidRDefault="00D46920" w:rsidP="00E3099C">
      <w:pPr>
        <w:spacing w:before="240"/>
        <w:jc w:val="both"/>
        <w:rPr>
          <w:rFonts w:ascii="Palatino Linotype" w:hAnsi="Palatino Linotype"/>
          <w:b/>
        </w:rPr>
      </w:pPr>
    </w:p>
    <w:p w:rsidR="00390DED" w:rsidRDefault="00390DED" w:rsidP="00E3099C">
      <w:pPr>
        <w:spacing w:before="240"/>
        <w:jc w:val="both"/>
        <w:rPr>
          <w:rFonts w:ascii="Palatino Linotype" w:hAnsi="Palatino Linotype"/>
          <w:b/>
        </w:rPr>
      </w:pPr>
    </w:p>
    <w:p w:rsidR="00FF77E7" w:rsidRDefault="00FF77E7" w:rsidP="00E3099C">
      <w:pPr>
        <w:spacing w:before="240"/>
        <w:jc w:val="both"/>
        <w:rPr>
          <w:rFonts w:ascii="Palatino Linotype" w:hAnsi="Palatino Linotype"/>
          <w:b/>
        </w:rPr>
      </w:pPr>
    </w:p>
    <w:p w:rsidR="00FF77E7" w:rsidRDefault="00FF77E7" w:rsidP="00E3099C">
      <w:pPr>
        <w:spacing w:before="240"/>
        <w:jc w:val="both"/>
        <w:rPr>
          <w:rFonts w:ascii="Palatino Linotype" w:hAnsi="Palatino Linotype"/>
          <w:b/>
        </w:rPr>
      </w:pPr>
    </w:p>
    <w:p w:rsidR="00FF77E7" w:rsidRDefault="00FF77E7" w:rsidP="00E3099C">
      <w:pPr>
        <w:spacing w:before="240"/>
        <w:jc w:val="both"/>
        <w:rPr>
          <w:rFonts w:ascii="Palatino Linotype" w:hAnsi="Palatino Linotype"/>
          <w:b/>
        </w:rPr>
      </w:pPr>
    </w:p>
    <w:p w:rsidR="00FF77E7" w:rsidRDefault="00FF77E7" w:rsidP="00E3099C">
      <w:pPr>
        <w:spacing w:before="240"/>
        <w:jc w:val="both"/>
        <w:rPr>
          <w:rFonts w:ascii="Palatino Linotype" w:hAnsi="Palatino Linotype"/>
          <w:b/>
        </w:rPr>
      </w:pPr>
    </w:p>
    <w:p w:rsidR="00FF77E7" w:rsidRDefault="00FF77E7" w:rsidP="00E3099C">
      <w:pPr>
        <w:spacing w:before="240"/>
        <w:jc w:val="both"/>
        <w:rPr>
          <w:rFonts w:ascii="Palatino Linotype" w:hAnsi="Palatino Linotype"/>
          <w:b/>
        </w:rPr>
      </w:pPr>
    </w:p>
    <w:p w:rsidR="00FF77E7" w:rsidRDefault="00FF77E7" w:rsidP="00E3099C">
      <w:pPr>
        <w:spacing w:before="240"/>
        <w:jc w:val="both"/>
        <w:rPr>
          <w:rFonts w:ascii="Palatino Linotype" w:hAnsi="Palatino Linotype"/>
          <w:b/>
        </w:rPr>
      </w:pPr>
    </w:p>
    <w:p w:rsidR="00FF77E7" w:rsidRDefault="00FF77E7" w:rsidP="00E3099C">
      <w:pPr>
        <w:spacing w:before="240"/>
        <w:jc w:val="both"/>
        <w:rPr>
          <w:rFonts w:ascii="Palatino Linotype" w:hAnsi="Palatino Linotype"/>
          <w:b/>
        </w:rPr>
      </w:pPr>
    </w:p>
    <w:p w:rsidR="00FF77E7" w:rsidRDefault="00FF77E7" w:rsidP="00E3099C">
      <w:pPr>
        <w:spacing w:before="240"/>
        <w:jc w:val="both"/>
        <w:rPr>
          <w:rFonts w:ascii="Palatino Linotype" w:hAnsi="Palatino Linotype"/>
          <w:b/>
        </w:rPr>
      </w:pPr>
    </w:p>
    <w:p w:rsidR="00F562AE" w:rsidRDefault="00F562AE" w:rsidP="00E3099C">
      <w:pPr>
        <w:spacing w:before="240"/>
        <w:jc w:val="both"/>
        <w:rPr>
          <w:rFonts w:ascii="Palatino Linotype" w:hAnsi="Palatino Linotype"/>
          <w:b/>
        </w:rPr>
      </w:pPr>
    </w:p>
    <w:p w:rsidR="00F562AE" w:rsidRDefault="00F562AE" w:rsidP="00E3099C">
      <w:pPr>
        <w:spacing w:before="240"/>
        <w:jc w:val="both"/>
        <w:rPr>
          <w:rFonts w:ascii="Palatino Linotype" w:hAnsi="Palatino Linotype"/>
          <w:b/>
        </w:rPr>
      </w:pPr>
    </w:p>
    <w:p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1072" behindDoc="0" locked="0" layoutInCell="1" allowOverlap="1" wp14:anchorId="29301B1C" wp14:editId="358CD937">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rPr>
                            </w:pPr>
                            <w:r w:rsidRPr="00EF2FC0">
                              <w:rPr>
                                <w:rFonts w:ascii="Palatino Linotype" w:hAnsi="Palatino Linotype"/>
                                <w:b/>
                              </w:rPr>
                              <w:t>Zulema Martínez Sánchez</w:t>
                            </w:r>
                          </w:p>
                          <w:p w:rsidR="00E3099C" w:rsidRDefault="00E3099C" w:rsidP="00E3099C">
                            <w:pPr>
                              <w:jc w:val="center"/>
                              <w:rPr>
                                <w:rFonts w:ascii="Palatino Linotype" w:hAnsi="Palatino Linotype"/>
                              </w:rPr>
                            </w:pPr>
                            <w:r>
                              <w:rPr>
                                <w:rFonts w:ascii="Palatino Linotype" w:hAnsi="Palatino Linotype"/>
                              </w:rPr>
                              <w:t>Comisionada Presidenta</w:t>
                            </w:r>
                          </w:p>
                          <w:p w:rsidR="00E3099C" w:rsidRDefault="00E3099C" w:rsidP="00E3099C">
                            <w:pPr>
                              <w:jc w:val="center"/>
                              <w:rPr>
                                <w:rFonts w:ascii="Palatino Linotype" w:hAnsi="Palatino Linotype"/>
                                <w:b/>
                              </w:rPr>
                            </w:pPr>
                            <w:r>
                              <w:rPr>
                                <w:rFonts w:ascii="Palatino Linotype" w:hAnsi="Palatino Linotype"/>
                                <w:b/>
                              </w:rPr>
                              <w:t>(Rúbrica).</w:t>
                            </w:r>
                          </w:p>
                          <w:p w:rsidR="00E3099C" w:rsidRPr="00016AF3" w:rsidRDefault="00E3099C"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01B1C"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rsidR="00E3099C" w:rsidRPr="00EF2FC0" w:rsidRDefault="00E3099C" w:rsidP="00E3099C">
                      <w:pPr>
                        <w:jc w:val="center"/>
                        <w:rPr>
                          <w:rFonts w:ascii="Palatino Linotype" w:hAnsi="Palatino Linotype"/>
                        </w:rPr>
                      </w:pPr>
                      <w:r w:rsidRPr="00EF2FC0">
                        <w:rPr>
                          <w:rFonts w:ascii="Palatino Linotype" w:hAnsi="Palatino Linotype"/>
                          <w:b/>
                        </w:rPr>
                        <w:t>Zulema Martínez Sánchez</w:t>
                      </w:r>
                    </w:p>
                    <w:p w:rsidR="00E3099C" w:rsidRDefault="00E3099C" w:rsidP="00E3099C">
                      <w:pPr>
                        <w:jc w:val="center"/>
                        <w:rPr>
                          <w:rFonts w:ascii="Palatino Linotype" w:hAnsi="Palatino Linotype"/>
                        </w:rPr>
                      </w:pPr>
                      <w:r>
                        <w:rPr>
                          <w:rFonts w:ascii="Palatino Linotype" w:hAnsi="Palatino Linotype"/>
                        </w:rPr>
                        <w:t>Comisionada Presidenta</w:t>
                      </w:r>
                    </w:p>
                    <w:p w:rsidR="00E3099C" w:rsidRDefault="00E3099C" w:rsidP="00E3099C">
                      <w:pPr>
                        <w:jc w:val="center"/>
                        <w:rPr>
                          <w:rFonts w:ascii="Palatino Linotype" w:hAnsi="Palatino Linotype"/>
                          <w:b/>
                        </w:rPr>
                      </w:pPr>
                      <w:r>
                        <w:rPr>
                          <w:rFonts w:ascii="Palatino Linotype" w:hAnsi="Palatino Linotype"/>
                          <w:b/>
                        </w:rPr>
                        <w:t>(Rúbrica).</w:t>
                      </w:r>
                    </w:p>
                    <w:p w:rsidR="00E3099C" w:rsidRPr="00016AF3" w:rsidRDefault="00E3099C" w:rsidP="00E3099C">
                      <w:pPr>
                        <w:jc w:val="center"/>
                        <w:rPr>
                          <w:rFonts w:ascii="Palatino Linotype" w:hAnsi="Palatino Linotype"/>
                          <w:b/>
                        </w:rPr>
                      </w:pPr>
                    </w:p>
                  </w:txbxContent>
                </v:textbox>
                <w10:wrap anchorx="page"/>
              </v:shape>
            </w:pict>
          </mc:Fallback>
        </mc:AlternateContent>
      </w:r>
    </w:p>
    <w:p w:rsidR="00E3099C" w:rsidRDefault="00E3099C"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3120" behindDoc="0" locked="0" layoutInCell="1" allowOverlap="1" wp14:anchorId="2D04FF74" wp14:editId="33C8DF48">
                <wp:simplePos x="0" y="0"/>
                <wp:positionH relativeFrom="margin">
                  <wp:align>right</wp:align>
                </wp:positionH>
                <wp:positionV relativeFrom="paragraph">
                  <wp:posOffset>11430</wp:posOffset>
                </wp:positionV>
                <wp:extent cx="2543175" cy="866692"/>
                <wp:effectExtent l="0" t="0" r="28575" b="10160"/>
                <wp:wrapNone/>
                <wp:docPr id="35" name="Cuadro de texto 35"/>
                <wp:cNvGraphicFramePr/>
                <a:graphic xmlns:a="http://schemas.openxmlformats.org/drawingml/2006/main">
                  <a:graphicData uri="http://schemas.microsoft.com/office/word/2010/wordprocessingShape">
                    <wps:wsp>
                      <wps:cNvSpPr txBox="1"/>
                      <wps:spPr>
                        <a:xfrm>
                          <a:off x="0" y="0"/>
                          <a:ext cx="2543175" cy="8666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rPr>
                            </w:pPr>
                            <w:r>
                              <w:rPr>
                                <w:rFonts w:ascii="Palatino Linotype" w:hAnsi="Palatino Linotype"/>
                                <w:b/>
                              </w:rPr>
                              <w:t>José Guadalupe Luna Hernández</w:t>
                            </w:r>
                          </w:p>
                          <w:p w:rsidR="00E3099C" w:rsidRDefault="00E3099C" w:rsidP="00E3099C">
                            <w:pPr>
                              <w:jc w:val="center"/>
                              <w:rPr>
                                <w:rFonts w:ascii="Palatino Linotype" w:hAnsi="Palatino Linotype"/>
                              </w:rPr>
                            </w:pPr>
                            <w:r w:rsidRPr="00EF2FC0">
                              <w:rPr>
                                <w:rFonts w:ascii="Palatino Linotype" w:hAnsi="Palatino Linotype"/>
                              </w:rPr>
                              <w:t>Comisionado</w:t>
                            </w:r>
                          </w:p>
                          <w:p w:rsidR="00E3099C" w:rsidRPr="009234AD" w:rsidRDefault="00E3099C"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4FF74" id="Cuadro de texto 35" o:spid="_x0000_s1027" type="#_x0000_t202" style="position:absolute;margin-left:149.05pt;margin-top:.9pt;width:200.25pt;height:68.2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" fillcolor="white [3201]" strokecolor="white [3212]" strokeweight=".5pt">
                <v:textbox>
                  <w:txbxContent>
                    <w:p w:rsidR="00E3099C" w:rsidRPr="00EF2FC0" w:rsidRDefault="00E3099C" w:rsidP="00E3099C">
                      <w:pPr>
                        <w:jc w:val="center"/>
                        <w:rPr>
                          <w:rFonts w:ascii="Palatino Linotype" w:hAnsi="Palatino Linotype"/>
                        </w:rPr>
                      </w:pPr>
                      <w:r>
                        <w:rPr>
                          <w:rFonts w:ascii="Palatino Linotype" w:hAnsi="Palatino Linotype"/>
                          <w:b/>
                        </w:rPr>
                        <w:t>José Guadalupe Luna Hernández</w:t>
                      </w:r>
                    </w:p>
                    <w:p w:rsidR="00E3099C" w:rsidRDefault="00E3099C" w:rsidP="00E3099C">
                      <w:pPr>
                        <w:jc w:val="center"/>
                        <w:rPr>
                          <w:rFonts w:ascii="Palatino Linotype" w:hAnsi="Palatino Linotype"/>
                        </w:rPr>
                      </w:pPr>
                      <w:r w:rsidRPr="00EF2FC0">
                        <w:rPr>
                          <w:rFonts w:ascii="Palatino Linotype" w:hAnsi="Palatino Linotype"/>
                        </w:rPr>
                        <w:t>Comisionado</w:t>
                      </w:r>
                    </w:p>
                    <w:p w:rsidR="00E3099C" w:rsidRPr="009234AD" w:rsidRDefault="00E3099C"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2096" behindDoc="0" locked="0" layoutInCell="1" allowOverlap="1" wp14:anchorId="3C2A9457" wp14:editId="48899683">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3099C" w:rsidRPr="00EF2FC0" w:rsidRDefault="00E3099C" w:rsidP="00E3099C">
                            <w:pPr>
                              <w:jc w:val="center"/>
                              <w:rPr>
                                <w:rFonts w:ascii="Palatino Linotype" w:hAnsi="Palatino Linotype"/>
                              </w:rPr>
                            </w:pPr>
                            <w:r w:rsidRPr="00EF2FC0">
                              <w:rPr>
                                <w:rFonts w:ascii="Palatino Linotype" w:hAnsi="Palatino Linotype"/>
                              </w:rPr>
                              <w:t>Comisionada</w:t>
                            </w:r>
                          </w:p>
                          <w:p w:rsidR="00E3099C" w:rsidRDefault="007A6C25" w:rsidP="00E3099C">
                            <w:pPr>
                              <w:jc w:val="center"/>
                              <w:rPr>
                                <w:rFonts w:ascii="Palatino Linotype" w:hAnsi="Palatino Linotype"/>
                                <w:b/>
                              </w:rPr>
                            </w:pPr>
                            <w:r>
                              <w:rPr>
                                <w:rFonts w:ascii="Palatino Linotype" w:hAnsi="Palatino Linotype"/>
                                <w:b/>
                              </w:rPr>
                              <w:t>(Rúbrica</w:t>
                            </w:r>
                            <w:r w:rsidR="00E3099C">
                              <w:rPr>
                                <w:rFonts w:ascii="Palatino Linotype" w:hAnsi="Palatino Linotype"/>
                                <w:b/>
                              </w:rPr>
                              <w:t>).</w:t>
                            </w:r>
                          </w:p>
                          <w:p w:rsidR="00E3099C" w:rsidRDefault="00E3099C"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A9457" id="Cuadro de texto 22" o:spid="_x0000_s1028" type="#_x0000_t202" style="position:absolute;margin-left:0;margin-top:1.65pt;width:153pt;height:76.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rsidR="00E3099C" w:rsidRPr="00EF2FC0" w:rsidRDefault="00E3099C" w:rsidP="00E3099C">
                      <w:pPr>
                        <w:jc w:val="center"/>
                        <w:rPr>
                          <w:rFonts w:ascii="Palatino Linotype" w:hAnsi="Palatino Linotype"/>
                          <w:b/>
                        </w:rPr>
                      </w:pPr>
                      <w:r w:rsidRPr="00EF2FC0">
                        <w:rPr>
                          <w:rFonts w:ascii="Palatino Linotype" w:hAnsi="Palatino Linotype"/>
                          <w:b/>
                        </w:rPr>
                        <w:t>Eva Abaid Yapur</w:t>
                      </w:r>
                    </w:p>
                    <w:p w:rsidR="00E3099C" w:rsidRPr="00EF2FC0" w:rsidRDefault="00E3099C" w:rsidP="00E3099C">
                      <w:pPr>
                        <w:jc w:val="center"/>
                        <w:rPr>
                          <w:rFonts w:ascii="Palatino Linotype" w:hAnsi="Palatino Linotype"/>
                        </w:rPr>
                      </w:pPr>
                      <w:r w:rsidRPr="00EF2FC0">
                        <w:rPr>
                          <w:rFonts w:ascii="Palatino Linotype" w:hAnsi="Palatino Linotype"/>
                        </w:rPr>
                        <w:t>Comisionada</w:t>
                      </w:r>
                    </w:p>
                    <w:p w:rsidR="00E3099C" w:rsidRDefault="007A6C25" w:rsidP="00E3099C">
                      <w:pPr>
                        <w:jc w:val="center"/>
                        <w:rPr>
                          <w:rFonts w:ascii="Palatino Linotype" w:hAnsi="Palatino Linotype"/>
                          <w:b/>
                        </w:rPr>
                      </w:pPr>
                      <w:r>
                        <w:rPr>
                          <w:rFonts w:ascii="Palatino Linotype" w:hAnsi="Palatino Linotype"/>
                          <w:b/>
                        </w:rPr>
                        <w:t>(Rúbrica</w:t>
                      </w:r>
                      <w:r w:rsidR="00E3099C">
                        <w:rPr>
                          <w:rFonts w:ascii="Palatino Linotype" w:hAnsi="Palatino Linotype"/>
                          <w:b/>
                        </w:rPr>
                        <w:t>).</w:t>
                      </w:r>
                    </w:p>
                    <w:p w:rsidR="00E3099C" w:rsidRDefault="00E3099C" w:rsidP="00E3099C">
                      <w:pPr>
                        <w:jc w:val="center"/>
                      </w:pPr>
                    </w:p>
                  </w:txbxContent>
                </v:textbox>
                <w10:wrap anchorx="margin"/>
              </v:shape>
            </w:pict>
          </mc:Fallback>
        </mc:AlternateContent>
      </w:r>
    </w:p>
    <w:p w:rsidR="00E3099C" w:rsidRPr="00D54B7D" w:rsidRDefault="00E3099C" w:rsidP="00E3099C">
      <w:pPr>
        <w:spacing w:before="240"/>
        <w:rPr>
          <w:rFonts w:ascii="Palatino Linotype" w:hAnsi="Palatino Linotype"/>
          <w:b/>
        </w:rPr>
      </w:pPr>
    </w:p>
    <w:p w:rsidR="00F36D4A" w:rsidRDefault="00F36D4A" w:rsidP="00E3099C">
      <w:pPr>
        <w:spacing w:before="240"/>
        <w:rPr>
          <w:rFonts w:ascii="Palatino Linotype" w:hAnsi="Palatino Linotype"/>
          <w:b/>
          <w:sz w:val="18"/>
          <w:szCs w:val="18"/>
        </w:rPr>
      </w:pPr>
    </w:p>
    <w:p w:rsidR="00426B79" w:rsidRDefault="00426B79" w:rsidP="00E3099C">
      <w:pPr>
        <w:spacing w:before="240"/>
        <w:rPr>
          <w:rFonts w:ascii="Palatino Linotype" w:hAnsi="Palatino Linotype"/>
          <w:b/>
          <w:sz w:val="18"/>
          <w:szCs w:val="18"/>
        </w:rPr>
      </w:pPr>
    </w:p>
    <w:p w:rsidR="00F562AE" w:rsidRDefault="00F562AE" w:rsidP="00E3099C">
      <w:pPr>
        <w:spacing w:before="240"/>
        <w:rPr>
          <w:rFonts w:ascii="Palatino Linotype" w:hAnsi="Palatino Linotype"/>
          <w:b/>
          <w:sz w:val="18"/>
          <w:szCs w:val="18"/>
        </w:rPr>
      </w:pPr>
    </w:p>
    <w:p w:rsidR="00E3099C" w:rsidRPr="00B93570" w:rsidRDefault="007E4B6C"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25E5731" wp14:editId="0843DA0E">
                <wp:simplePos x="0" y="0"/>
                <wp:positionH relativeFrom="margin">
                  <wp:align>right</wp:align>
                </wp:positionH>
                <wp:positionV relativeFrom="paragraph">
                  <wp:posOffset>52070</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4B6C" w:rsidRPr="00EF2FC0" w:rsidRDefault="007E4B6C" w:rsidP="007E4B6C">
                            <w:pPr>
                              <w:jc w:val="center"/>
                              <w:rPr>
                                <w:rFonts w:ascii="Palatino Linotype" w:hAnsi="Palatino Linotype"/>
                              </w:rPr>
                            </w:pPr>
                            <w:r>
                              <w:rPr>
                                <w:rFonts w:ascii="Palatino Linotype" w:hAnsi="Palatino Linotype"/>
                                <w:b/>
                              </w:rPr>
                              <w:t>Luis Gustavo Parra Noriega</w:t>
                            </w:r>
                          </w:p>
                          <w:p w:rsidR="007E4B6C" w:rsidRPr="00EF2FC0" w:rsidRDefault="007E4B6C" w:rsidP="007E4B6C">
                            <w:pPr>
                              <w:jc w:val="center"/>
                              <w:rPr>
                                <w:rFonts w:ascii="Palatino Linotype" w:hAnsi="Palatino Linotype"/>
                              </w:rPr>
                            </w:pPr>
                            <w:r w:rsidRPr="00EF2FC0">
                              <w:rPr>
                                <w:rFonts w:ascii="Palatino Linotype" w:hAnsi="Palatino Linotype"/>
                              </w:rPr>
                              <w:t>Comisionado</w:t>
                            </w:r>
                          </w:p>
                          <w:p w:rsidR="007E4B6C" w:rsidRDefault="007E4B6C" w:rsidP="007E4B6C">
                            <w:pPr>
                              <w:jc w:val="center"/>
                              <w:rPr>
                                <w:rFonts w:ascii="Palatino Linotype" w:hAnsi="Palatino Linotype"/>
                                <w:b/>
                              </w:rPr>
                            </w:pPr>
                            <w:r>
                              <w:rPr>
                                <w:rFonts w:ascii="Palatino Linotype" w:hAnsi="Palatino Linotype"/>
                                <w:b/>
                              </w:rPr>
                              <w:t>(Rúbrica).</w:t>
                            </w:r>
                          </w:p>
                          <w:p w:rsidR="007E4B6C" w:rsidRDefault="007E4B6C" w:rsidP="007E4B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E5731" id="Cuadro de texto 12" o:spid="_x0000_s1029" type="#_x0000_t202" style="position:absolute;margin-left:116.8pt;margin-top:4.1pt;width:168pt;height:73.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" fillcolor="white [3201]" strokecolor="white [3212]" strokeweight=".5pt">
                <v:textbox>
                  <w:txbxContent>
                    <w:p w:rsidR="007E4B6C" w:rsidRPr="00EF2FC0" w:rsidRDefault="007E4B6C" w:rsidP="007E4B6C">
                      <w:pPr>
                        <w:jc w:val="center"/>
                        <w:rPr>
                          <w:rFonts w:ascii="Palatino Linotype" w:hAnsi="Palatino Linotype"/>
                        </w:rPr>
                      </w:pPr>
                      <w:r>
                        <w:rPr>
                          <w:rFonts w:ascii="Palatino Linotype" w:hAnsi="Palatino Linotype"/>
                          <w:b/>
                        </w:rPr>
                        <w:t>Luis Gustavo Parra Noriega</w:t>
                      </w:r>
                    </w:p>
                    <w:p w:rsidR="007E4B6C" w:rsidRPr="00EF2FC0" w:rsidRDefault="007E4B6C" w:rsidP="007E4B6C">
                      <w:pPr>
                        <w:jc w:val="center"/>
                        <w:rPr>
                          <w:rFonts w:ascii="Palatino Linotype" w:hAnsi="Palatino Linotype"/>
                        </w:rPr>
                      </w:pPr>
                      <w:r w:rsidRPr="00EF2FC0">
                        <w:rPr>
                          <w:rFonts w:ascii="Palatino Linotype" w:hAnsi="Palatino Linotype"/>
                        </w:rPr>
                        <w:t>Comisionado</w:t>
                      </w:r>
                    </w:p>
                    <w:p w:rsidR="007E4B6C" w:rsidRDefault="007E4B6C" w:rsidP="007E4B6C">
                      <w:pPr>
                        <w:jc w:val="center"/>
                        <w:rPr>
                          <w:rFonts w:ascii="Palatino Linotype" w:hAnsi="Palatino Linotype"/>
                          <w:b/>
                        </w:rPr>
                      </w:pPr>
                      <w:r>
                        <w:rPr>
                          <w:rFonts w:ascii="Palatino Linotype" w:hAnsi="Palatino Linotype"/>
                          <w:b/>
                        </w:rPr>
                        <w:t>(Rúbrica).</w:t>
                      </w:r>
                    </w:p>
                    <w:p w:rsidR="007E4B6C" w:rsidRDefault="007E4B6C" w:rsidP="007E4B6C"/>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57216" behindDoc="0" locked="0" layoutInCell="1" allowOverlap="1" wp14:anchorId="2A63C0FF" wp14:editId="4FEFBBF2">
                <wp:simplePos x="0" y="0"/>
                <wp:positionH relativeFrom="margin">
                  <wp:align>left</wp:align>
                </wp:positionH>
                <wp:positionV relativeFrom="paragraph">
                  <wp:posOffset>76200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rPr>
                            </w:pPr>
                            <w:r w:rsidRPr="00EF2FC0">
                              <w:rPr>
                                <w:rFonts w:ascii="Palatino Linotype" w:hAnsi="Palatino Linotype"/>
                                <w:b/>
                              </w:rPr>
                              <w:t>Javier Martínez Cruz</w:t>
                            </w:r>
                          </w:p>
                          <w:p w:rsidR="00E3099C" w:rsidRPr="00EF2FC0" w:rsidRDefault="00E3099C" w:rsidP="00E3099C">
                            <w:pPr>
                              <w:jc w:val="center"/>
                              <w:rPr>
                                <w:rFonts w:ascii="Palatino Linotype" w:hAnsi="Palatino Linotype"/>
                              </w:rPr>
                            </w:pPr>
                            <w:r w:rsidRPr="00EF2FC0">
                              <w:rPr>
                                <w:rFonts w:ascii="Palatino Linotype" w:hAnsi="Palatino Linotype"/>
                              </w:rPr>
                              <w:t>Comisionado</w:t>
                            </w:r>
                          </w:p>
                          <w:p w:rsidR="00E3099C" w:rsidRDefault="00E3099C" w:rsidP="00E3099C">
                            <w:pPr>
                              <w:jc w:val="center"/>
                              <w:rPr>
                                <w:rFonts w:ascii="Palatino Linotype" w:hAnsi="Palatino Linotype"/>
                                <w:b/>
                              </w:rPr>
                            </w:pPr>
                            <w:r>
                              <w:rPr>
                                <w:rFonts w:ascii="Palatino Linotype" w:hAnsi="Palatino Linotype"/>
                                <w:b/>
                              </w:rPr>
                              <w:t>(Rúbrica).</w:t>
                            </w:r>
                          </w:p>
                          <w:p w:rsidR="00E3099C" w:rsidRDefault="00E3099C"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3C0FF" id="Cuadro de texto 5" o:spid="_x0000_s1030" type="#_x0000_t202" style="position:absolute;margin-left:0;margin-top:6pt;width:168pt;height:73.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" fillcolor="white [3201]" strokecolor="white [3212]" strokeweight=".5pt">
                <v:textbox>
                  <w:txbxContent>
                    <w:p w:rsidR="00E3099C" w:rsidRPr="00EF2FC0" w:rsidRDefault="00E3099C" w:rsidP="00E3099C">
                      <w:pPr>
                        <w:jc w:val="center"/>
                        <w:rPr>
                          <w:rFonts w:ascii="Palatino Linotype" w:hAnsi="Palatino Linotype"/>
                        </w:rPr>
                      </w:pPr>
                      <w:r w:rsidRPr="00EF2FC0">
                        <w:rPr>
                          <w:rFonts w:ascii="Palatino Linotype" w:hAnsi="Palatino Linotype"/>
                          <w:b/>
                        </w:rPr>
                        <w:t>Javier Martínez Cruz</w:t>
                      </w:r>
                    </w:p>
                    <w:p w:rsidR="00E3099C" w:rsidRPr="00EF2FC0" w:rsidRDefault="00E3099C" w:rsidP="00E3099C">
                      <w:pPr>
                        <w:jc w:val="center"/>
                        <w:rPr>
                          <w:rFonts w:ascii="Palatino Linotype" w:hAnsi="Palatino Linotype"/>
                        </w:rPr>
                      </w:pPr>
                      <w:r w:rsidRPr="00EF2FC0">
                        <w:rPr>
                          <w:rFonts w:ascii="Palatino Linotype" w:hAnsi="Palatino Linotype"/>
                        </w:rPr>
                        <w:t>Comisionado</w:t>
                      </w:r>
                    </w:p>
                    <w:p w:rsidR="00E3099C" w:rsidRDefault="00E3099C" w:rsidP="00E3099C">
                      <w:pPr>
                        <w:jc w:val="center"/>
                        <w:rPr>
                          <w:rFonts w:ascii="Palatino Linotype" w:hAnsi="Palatino Linotype"/>
                          <w:b/>
                        </w:rPr>
                      </w:pPr>
                      <w:r>
                        <w:rPr>
                          <w:rFonts w:ascii="Palatino Linotype" w:hAnsi="Palatino Linotype"/>
                          <w:b/>
                        </w:rPr>
                        <w:t>(Rúbrica).</w:t>
                      </w:r>
                    </w:p>
                    <w:p w:rsidR="00E3099C" w:rsidRDefault="00E3099C" w:rsidP="00E3099C"/>
                  </w:txbxContent>
                </v:textbox>
                <w10:wrap anchorx="margin"/>
              </v:shape>
            </w:pict>
          </mc:Fallback>
        </mc:AlternateContent>
      </w:r>
    </w:p>
    <w:p w:rsidR="00E3099C" w:rsidRDefault="00E3099C" w:rsidP="00E3099C">
      <w:pPr>
        <w:spacing w:before="240"/>
        <w:rPr>
          <w:rFonts w:ascii="Palatino Linotype" w:hAnsi="Palatino Linotype"/>
          <w:b/>
        </w:rPr>
      </w:pPr>
    </w:p>
    <w:p w:rsidR="00E3099C" w:rsidRDefault="00E3099C" w:rsidP="00E3099C">
      <w:pPr>
        <w:spacing w:before="240"/>
        <w:rPr>
          <w:rFonts w:ascii="Palatino Linotype" w:hAnsi="Palatino Linotype"/>
          <w:b/>
        </w:rPr>
      </w:pPr>
    </w:p>
    <w:p w:rsidR="00F36D4A" w:rsidRDefault="00F36D4A"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5168" behindDoc="0" locked="0" layoutInCell="1" allowOverlap="1" wp14:anchorId="72F8A0AF" wp14:editId="47395F79">
                <wp:simplePos x="0" y="0"/>
                <wp:positionH relativeFrom="page">
                  <wp:posOffset>2291080</wp:posOffset>
                </wp:positionH>
                <wp:positionV relativeFrom="paragraph">
                  <wp:posOffset>182245</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7F6133" w:rsidRDefault="00280CE6" w:rsidP="00E3099C">
                            <w:pPr>
                              <w:jc w:val="center"/>
                              <w:rPr>
                                <w:rFonts w:ascii="Palatino Linotype" w:hAnsi="Palatino Linotype"/>
                                <w:b/>
                              </w:rPr>
                            </w:pPr>
                            <w:r>
                              <w:rPr>
                                <w:rFonts w:ascii="Palatino Linotype" w:hAnsi="Palatino Linotype"/>
                                <w:b/>
                              </w:rPr>
                              <w:t>Alexis Tapia Ramírez</w:t>
                            </w:r>
                          </w:p>
                          <w:p w:rsidR="00E3099C" w:rsidRDefault="00280CE6" w:rsidP="00E3099C">
                            <w:pPr>
                              <w:jc w:val="center"/>
                              <w:rPr>
                                <w:rFonts w:ascii="Palatino Linotype" w:hAnsi="Palatino Linotype"/>
                              </w:rPr>
                            </w:pPr>
                            <w:r>
                              <w:rPr>
                                <w:rFonts w:ascii="Palatino Linotype" w:hAnsi="Palatino Linotype"/>
                              </w:rPr>
                              <w:t>Secretario Técnico</w:t>
                            </w:r>
                            <w:r w:rsidR="00E3099C" w:rsidRPr="007F6133">
                              <w:rPr>
                                <w:rFonts w:ascii="Palatino Linotype" w:hAnsi="Palatino Linotype"/>
                              </w:rPr>
                              <w:t xml:space="preserve"> del Pleno</w:t>
                            </w:r>
                            <w:r w:rsidR="00E3099C" w:rsidRPr="00EF2FC0">
                              <w:rPr>
                                <w:rFonts w:ascii="Palatino Linotype" w:hAnsi="Palatino Linotype"/>
                              </w:rPr>
                              <w:t xml:space="preserve"> </w:t>
                            </w:r>
                          </w:p>
                          <w:p w:rsidR="00E3099C" w:rsidRDefault="00E3099C" w:rsidP="00E3099C">
                            <w:pPr>
                              <w:jc w:val="center"/>
                              <w:rPr>
                                <w:rFonts w:ascii="Palatino Linotype" w:hAnsi="Palatino Linotype"/>
                                <w:b/>
                              </w:rPr>
                            </w:pPr>
                            <w:r>
                              <w:rPr>
                                <w:rFonts w:ascii="Palatino Linotype" w:hAnsi="Palatino Linotype"/>
                                <w:b/>
                              </w:rPr>
                              <w:t>(Rúbrica).</w:t>
                            </w:r>
                            <w:r w:rsidR="0099266B">
                              <w:rPr>
                                <w:rFonts w:ascii="Palatino Linotype" w:hAnsi="Palatino Linotype"/>
                                <w:b/>
                              </w:rPr>
                              <w:br/>
                            </w:r>
                            <w:r w:rsidR="0099266B">
                              <w:rPr>
                                <w:rFonts w:ascii="Palatino Linotype" w:hAnsi="Palatino Linotype"/>
                                <w:b/>
                              </w:rPr>
                              <w:br/>
                            </w:r>
                          </w:p>
                          <w:p w:rsidR="00E3099C" w:rsidRDefault="00E3099C" w:rsidP="00E3099C">
                            <w:pPr>
                              <w:jc w:val="center"/>
                              <w:rPr>
                                <w:rFonts w:ascii="Palatino Linotype" w:hAnsi="Palatino Linotype"/>
                              </w:rPr>
                            </w:pPr>
                          </w:p>
                          <w:p w:rsidR="00E3099C" w:rsidRPr="00EF2FC0" w:rsidRDefault="00E3099C" w:rsidP="00E3099C">
                            <w:pPr>
                              <w:jc w:val="center"/>
                              <w:rPr>
                                <w:rFonts w:ascii="Palatino Linotype" w:hAnsi="Palatino Linotype"/>
                              </w:rPr>
                            </w:pPr>
                          </w:p>
                          <w:p w:rsidR="00E3099C" w:rsidRDefault="00E3099C"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8A0AF" id="Cuadro de texto 24" o:spid="_x0000_s1031" type="#_x0000_t202" style="position:absolute;margin-left:180.4pt;margin-top:14.35pt;width:248.25pt;height:7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" fillcolor="white [3201]" strokecolor="white [3212]" strokeweight=".5pt">
                <v:textbox>
                  <w:txbxContent>
                    <w:p w:rsidR="00E3099C" w:rsidRPr="007F6133" w:rsidRDefault="00280CE6" w:rsidP="00E3099C">
                      <w:pPr>
                        <w:jc w:val="center"/>
                        <w:rPr>
                          <w:rFonts w:ascii="Palatino Linotype" w:hAnsi="Palatino Linotype"/>
                          <w:b/>
                        </w:rPr>
                      </w:pPr>
                      <w:r>
                        <w:rPr>
                          <w:rFonts w:ascii="Palatino Linotype" w:hAnsi="Palatino Linotype"/>
                          <w:b/>
                        </w:rPr>
                        <w:t>Alexis Tapia Ramírez</w:t>
                      </w:r>
                    </w:p>
                    <w:p w:rsidR="00E3099C" w:rsidRDefault="00280CE6" w:rsidP="00E3099C">
                      <w:pPr>
                        <w:jc w:val="center"/>
                        <w:rPr>
                          <w:rFonts w:ascii="Palatino Linotype" w:hAnsi="Palatino Linotype"/>
                        </w:rPr>
                      </w:pPr>
                      <w:r>
                        <w:rPr>
                          <w:rFonts w:ascii="Palatino Linotype" w:hAnsi="Palatino Linotype"/>
                        </w:rPr>
                        <w:t>Secretario Técnico</w:t>
                      </w:r>
                      <w:r w:rsidR="00E3099C" w:rsidRPr="007F6133">
                        <w:rPr>
                          <w:rFonts w:ascii="Palatino Linotype" w:hAnsi="Palatino Linotype"/>
                        </w:rPr>
                        <w:t xml:space="preserve"> del Pleno</w:t>
                      </w:r>
                      <w:r w:rsidR="00E3099C" w:rsidRPr="00EF2FC0">
                        <w:rPr>
                          <w:rFonts w:ascii="Palatino Linotype" w:hAnsi="Palatino Linotype"/>
                        </w:rPr>
                        <w:t xml:space="preserve"> </w:t>
                      </w:r>
                    </w:p>
                    <w:p w:rsidR="00E3099C" w:rsidRDefault="00E3099C" w:rsidP="00E3099C">
                      <w:pPr>
                        <w:jc w:val="center"/>
                        <w:rPr>
                          <w:rFonts w:ascii="Palatino Linotype" w:hAnsi="Palatino Linotype"/>
                          <w:b/>
                        </w:rPr>
                      </w:pPr>
                      <w:r>
                        <w:rPr>
                          <w:rFonts w:ascii="Palatino Linotype" w:hAnsi="Palatino Linotype"/>
                          <w:b/>
                        </w:rPr>
                        <w:t>(Rúbrica).</w:t>
                      </w:r>
                      <w:r w:rsidR="0099266B">
                        <w:rPr>
                          <w:rFonts w:ascii="Palatino Linotype" w:hAnsi="Palatino Linotype"/>
                          <w:b/>
                        </w:rPr>
                        <w:br/>
                      </w:r>
                      <w:r w:rsidR="0099266B">
                        <w:rPr>
                          <w:rFonts w:ascii="Palatino Linotype" w:hAnsi="Palatino Linotype"/>
                          <w:b/>
                        </w:rPr>
                        <w:br/>
                      </w:r>
                    </w:p>
                    <w:p w:rsidR="00E3099C" w:rsidRDefault="00E3099C" w:rsidP="00E3099C">
                      <w:pPr>
                        <w:jc w:val="center"/>
                        <w:rPr>
                          <w:rFonts w:ascii="Palatino Linotype" w:hAnsi="Palatino Linotype"/>
                        </w:rPr>
                      </w:pPr>
                    </w:p>
                    <w:p w:rsidR="00E3099C" w:rsidRPr="00EF2FC0" w:rsidRDefault="00E3099C" w:rsidP="00E3099C">
                      <w:pPr>
                        <w:jc w:val="center"/>
                        <w:rPr>
                          <w:rFonts w:ascii="Palatino Linotype" w:hAnsi="Palatino Linotype"/>
                        </w:rPr>
                      </w:pPr>
                    </w:p>
                    <w:p w:rsidR="00E3099C" w:rsidRDefault="00E3099C" w:rsidP="00E3099C"/>
                  </w:txbxContent>
                </v:textbox>
                <w10:wrap anchorx="page"/>
              </v:shape>
            </w:pict>
          </mc:Fallback>
        </mc:AlternateContent>
      </w:r>
    </w:p>
    <w:p w:rsidR="00E3099C" w:rsidRDefault="00E3099C" w:rsidP="00E3099C">
      <w:pPr>
        <w:spacing w:before="240"/>
        <w:rPr>
          <w:rFonts w:ascii="Palatino Linotype" w:hAnsi="Palatino Linotype" w:cs="Arial"/>
          <w:sz w:val="16"/>
          <w:szCs w:val="16"/>
        </w:rPr>
      </w:pPr>
    </w:p>
    <w:p w:rsidR="00E3099C" w:rsidRDefault="00E3099C" w:rsidP="00E3099C">
      <w:pPr>
        <w:spacing w:before="240" w:line="240" w:lineRule="auto"/>
        <w:jc w:val="both"/>
        <w:rPr>
          <w:rFonts w:ascii="Palatino Linotype" w:hAnsi="Palatino Linotype" w:cs="Arial"/>
          <w:sz w:val="16"/>
          <w:szCs w:val="16"/>
        </w:rPr>
      </w:pPr>
    </w:p>
    <w:p w:rsidR="00D46920" w:rsidRDefault="0099266B" w:rsidP="0099266B">
      <w:pPr>
        <w:spacing w:before="240" w:line="240" w:lineRule="auto"/>
        <w:jc w:val="both"/>
        <w:rPr>
          <w:rFonts w:ascii="Palatino Linotype" w:hAnsi="Palatino Linotype" w:cs="Arial"/>
          <w:sz w:val="16"/>
          <w:szCs w:val="16"/>
        </w:rPr>
      </w:pPr>
      <w:r>
        <w:rPr>
          <w:rFonts w:ascii="Palatino Linotype" w:hAnsi="Palatino Linotype" w:cs="Arial"/>
          <w:sz w:val="16"/>
          <w:szCs w:val="16"/>
        </w:rPr>
        <w:br/>
      </w:r>
    </w:p>
    <w:p w:rsidR="00D46920" w:rsidRDefault="00E3099C" w:rsidP="0099266B">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F562AE">
        <w:rPr>
          <w:rFonts w:ascii="Palatino Linotype" w:hAnsi="Palatino Linotype" w:cs="Arial"/>
          <w:sz w:val="16"/>
          <w:szCs w:val="16"/>
        </w:rPr>
        <w:t>treinta</w:t>
      </w:r>
      <w:r w:rsidR="00041A02">
        <w:rPr>
          <w:rFonts w:ascii="Palatino Linotype" w:hAnsi="Palatino Linotype" w:cs="Arial"/>
          <w:sz w:val="16"/>
          <w:szCs w:val="16"/>
        </w:rPr>
        <w:t xml:space="preserve"> de </w:t>
      </w:r>
      <w:r w:rsidR="00F562AE">
        <w:rPr>
          <w:rFonts w:ascii="Palatino Linotype" w:hAnsi="Palatino Linotype" w:cs="Arial"/>
          <w:sz w:val="16"/>
          <w:szCs w:val="16"/>
        </w:rPr>
        <w:t>enero de dos mil diecinueve</w:t>
      </w:r>
      <w:r w:rsidRPr="00861BBC">
        <w:rPr>
          <w:rFonts w:ascii="Palatino Linotype" w:hAnsi="Palatino Linotype" w:cs="Arial"/>
          <w:sz w:val="16"/>
          <w:szCs w:val="16"/>
        </w:rPr>
        <w:t xml:space="preserve">, emitida en el recurso de revisión </w:t>
      </w:r>
      <w:r w:rsidR="00F562AE">
        <w:rPr>
          <w:rFonts w:ascii="Palatino Linotype" w:hAnsi="Palatino Linotype" w:cs="Arial"/>
          <w:bCs/>
          <w:sz w:val="16"/>
          <w:szCs w:val="16"/>
          <w:lang w:eastAsia="es-MX"/>
        </w:rPr>
        <w:t>04425</w:t>
      </w:r>
      <w:r w:rsidR="00280CE6">
        <w:rPr>
          <w:rFonts w:ascii="Palatino Linotype" w:hAnsi="Palatino Linotype" w:cs="Arial"/>
          <w:bCs/>
          <w:sz w:val="16"/>
          <w:szCs w:val="16"/>
          <w:lang w:eastAsia="es-MX"/>
        </w:rPr>
        <w:t>/INFOEM/IP/RR/2018</w:t>
      </w:r>
      <w:r w:rsidR="00D46920">
        <w:rPr>
          <w:rFonts w:ascii="Palatino Linotype" w:hAnsi="Palatino Linotype" w:cs="Arial"/>
          <w:bCs/>
          <w:sz w:val="16"/>
          <w:szCs w:val="16"/>
          <w:lang w:eastAsia="es-MX"/>
        </w:rPr>
        <w:t xml:space="preserve"> y acumulado.</w:t>
      </w:r>
    </w:p>
    <w:p w:rsidR="006B7634" w:rsidRPr="00D46920" w:rsidRDefault="00280CE6" w:rsidP="0099266B">
      <w:pPr>
        <w:spacing w:before="240" w:line="240" w:lineRule="auto"/>
        <w:jc w:val="both"/>
        <w:rPr>
          <w:rFonts w:ascii="Palatino Linotype" w:hAnsi="Palatino Linotype" w:cs="Arial"/>
          <w:sz w:val="16"/>
          <w:szCs w:val="16"/>
        </w:rPr>
      </w:pPr>
      <w:r>
        <w:rPr>
          <w:rFonts w:ascii="Palatino Linotype" w:hAnsi="Palatino Linotype" w:cs="Arial"/>
          <w:sz w:val="16"/>
          <w:szCs w:val="16"/>
        </w:rPr>
        <w:t>OSAM/CDFE</w:t>
      </w:r>
    </w:p>
    <w:sectPr w:rsidR="006B7634" w:rsidRPr="00D46920" w:rsidSect="00581590">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8ED" w:rsidRDefault="006848ED" w:rsidP="00E3099C">
      <w:pPr>
        <w:spacing w:after="0" w:line="240" w:lineRule="auto"/>
      </w:pPr>
      <w:r>
        <w:separator/>
      </w:r>
    </w:p>
  </w:endnote>
  <w:endnote w:type="continuationSeparator" w:id="0">
    <w:p w:rsidR="006848ED" w:rsidRDefault="006848ED"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90" w:rsidRPr="000B69FA" w:rsidRDefault="000E415C"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069F">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069F">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90" w:rsidRPr="000B69FA" w:rsidRDefault="000E415C"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069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069F">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8ED" w:rsidRDefault="006848ED" w:rsidP="00E3099C">
      <w:pPr>
        <w:spacing w:after="0" w:line="240" w:lineRule="auto"/>
      </w:pPr>
      <w:r>
        <w:separator/>
      </w:r>
    </w:p>
  </w:footnote>
  <w:footnote w:type="continuationSeparator" w:id="0">
    <w:p w:rsidR="006848ED" w:rsidRDefault="006848ED" w:rsidP="00E3099C">
      <w:pPr>
        <w:spacing w:after="0" w:line="240" w:lineRule="auto"/>
      </w:pPr>
      <w:r>
        <w:continuationSeparator/>
      </w:r>
    </w:p>
  </w:footnote>
  <w:footnote w:id="1">
    <w:p w:rsidR="00E5244D" w:rsidRPr="00911081" w:rsidRDefault="00E5244D"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5244D" w:rsidRPr="00911081" w:rsidRDefault="00E5244D"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90" w:rsidRDefault="00581590">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81590" w:rsidTr="00581590">
      <w:trPr>
        <w:trHeight w:val="227"/>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81590" w:rsidRDefault="00226642"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04425</w:t>
          </w:r>
          <w:r w:rsidR="009F22C8">
            <w:rPr>
              <w:rFonts w:ascii="Palatino Linotype" w:hAnsi="Palatino Linotype" w:cs="Arial"/>
              <w:bCs/>
              <w:sz w:val="24"/>
              <w:lang w:eastAsia="es-MX"/>
            </w:rPr>
            <w:t>/INFOEM/IP/RR/2018</w:t>
          </w:r>
          <w:r w:rsidR="00C368B4">
            <w:rPr>
              <w:rFonts w:ascii="Palatino Linotype" w:hAnsi="Palatino Linotype" w:cs="Arial"/>
              <w:bCs/>
              <w:sz w:val="24"/>
              <w:lang w:eastAsia="es-MX"/>
            </w:rPr>
            <w:t xml:space="preserve"> y acumulado</w:t>
          </w:r>
        </w:p>
      </w:tc>
    </w:tr>
    <w:tr w:rsidR="00581590" w:rsidTr="00581590">
      <w:trPr>
        <w:trHeight w:val="242"/>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81590" w:rsidRDefault="00C368B4" w:rsidP="00581590">
          <w:pPr>
            <w:spacing w:after="120" w:line="256" w:lineRule="auto"/>
            <w:ind w:left="-486" w:right="214" w:firstLine="284"/>
            <w:jc w:val="right"/>
            <w:rPr>
              <w:rFonts w:ascii="Palatino Linotype" w:hAnsi="Palatino Linotype" w:cs="Arial"/>
              <w:szCs w:val="20"/>
            </w:rPr>
          </w:pPr>
          <w:r w:rsidRPr="00C368B4">
            <w:rPr>
              <w:rFonts w:ascii="Palatino Linotype" w:hAnsi="Palatino Linotype" w:cs="Arial"/>
              <w:szCs w:val="20"/>
            </w:rPr>
            <w:t>Universidad Politécnica del Valle de Toluca</w:t>
          </w:r>
        </w:p>
      </w:tc>
    </w:tr>
    <w:tr w:rsidR="00581590" w:rsidTr="00581590">
      <w:trPr>
        <w:trHeight w:val="342"/>
      </w:trPr>
      <w:tc>
        <w:tcPr>
          <w:tcW w:w="5529" w:type="dxa"/>
          <w:hideMark/>
        </w:tcPr>
        <w:p w:rsidR="00581590" w:rsidRDefault="000E415C"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81590" w:rsidRDefault="000E415C"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81590" w:rsidRDefault="005815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81590" w:rsidTr="00581590">
      <w:trPr>
        <w:trHeight w:val="227"/>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81590" w:rsidRPr="00B4142F" w:rsidRDefault="00AE0ED2"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04425</w:t>
          </w:r>
          <w:r w:rsidR="009F22C8">
            <w:rPr>
              <w:rFonts w:ascii="Palatino Linotype" w:hAnsi="Palatino Linotype" w:cs="Arial"/>
              <w:bCs/>
              <w:sz w:val="24"/>
              <w:lang w:eastAsia="es-MX"/>
            </w:rPr>
            <w:t>/INFOEM/IP/RR/2018</w:t>
          </w:r>
          <w:r w:rsidR="00C368B4">
            <w:rPr>
              <w:rFonts w:ascii="Palatino Linotype" w:hAnsi="Palatino Linotype" w:cs="Arial"/>
              <w:bCs/>
              <w:sz w:val="24"/>
              <w:lang w:eastAsia="es-MX"/>
            </w:rPr>
            <w:t xml:space="preserve"> y acumulado</w:t>
          </w:r>
        </w:p>
      </w:tc>
    </w:tr>
    <w:tr w:rsidR="00581590" w:rsidTr="00581590">
      <w:trPr>
        <w:trHeight w:val="196"/>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81590" w:rsidRPr="00F06FED" w:rsidRDefault="00840816"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581590" w:rsidTr="00581590">
      <w:trPr>
        <w:trHeight w:val="242"/>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81590" w:rsidRDefault="00C368B4" w:rsidP="00581590">
          <w:pPr>
            <w:spacing w:after="120" w:line="256" w:lineRule="auto"/>
            <w:ind w:left="-495" w:right="214" w:firstLine="567"/>
            <w:jc w:val="right"/>
            <w:rPr>
              <w:rFonts w:ascii="Palatino Linotype" w:hAnsi="Palatino Linotype" w:cs="Arial"/>
              <w:szCs w:val="20"/>
            </w:rPr>
          </w:pPr>
          <w:r w:rsidRPr="00C368B4">
            <w:rPr>
              <w:rFonts w:ascii="Palatino Linotype" w:hAnsi="Palatino Linotype" w:cs="Arial"/>
              <w:szCs w:val="20"/>
            </w:rPr>
            <w:t>Universidad Politécnica del Valle de Toluca</w:t>
          </w:r>
        </w:p>
      </w:tc>
    </w:tr>
    <w:tr w:rsidR="00581590" w:rsidTr="00581590">
      <w:trPr>
        <w:trHeight w:val="342"/>
      </w:trPr>
      <w:tc>
        <w:tcPr>
          <w:tcW w:w="5529" w:type="dxa"/>
          <w:hideMark/>
        </w:tcPr>
        <w:p w:rsidR="00581590" w:rsidRDefault="000E415C"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81590" w:rsidRDefault="000E415C"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81590" w:rsidRDefault="005815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778B"/>
    <w:multiLevelType w:val="hybridMultilevel"/>
    <w:tmpl w:val="FF9A5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CD203C"/>
    <w:multiLevelType w:val="hybridMultilevel"/>
    <w:tmpl w:val="056C4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9855AB"/>
    <w:multiLevelType w:val="hybridMultilevel"/>
    <w:tmpl w:val="86D65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FC1DBF"/>
    <w:multiLevelType w:val="hybridMultilevel"/>
    <w:tmpl w:val="C93A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8E51A1"/>
    <w:multiLevelType w:val="hybridMultilevel"/>
    <w:tmpl w:val="9BA8F0A6"/>
    <w:lvl w:ilvl="0" w:tplc="FB0CAD4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1DA619D9"/>
    <w:multiLevelType w:val="hybridMultilevel"/>
    <w:tmpl w:val="7C1E0F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61A0B52"/>
    <w:multiLevelType w:val="hybridMultilevel"/>
    <w:tmpl w:val="DB7CE1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D1238C4"/>
    <w:multiLevelType w:val="hybridMultilevel"/>
    <w:tmpl w:val="357AEA42"/>
    <w:lvl w:ilvl="0" w:tplc="F342B03A">
      <w:start w:val="1"/>
      <w:numFmt w:val="decimal"/>
      <w:lvlText w:val="%1."/>
      <w:lvlJc w:val="left"/>
      <w:pPr>
        <w:ind w:left="927" w:hanging="360"/>
      </w:pPr>
      <w:rPr>
        <w:rFonts w:asciiTheme="minorHAnsi" w:hAnsiTheme="minorHAnsi" w:hint="default"/>
        <w:i/>
        <w:sz w:val="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8B407C"/>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7" w15:restartNumberingAfterBreak="0">
    <w:nsid w:val="726262B7"/>
    <w:multiLevelType w:val="hybridMultilevel"/>
    <w:tmpl w:val="8242B6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5A3E59"/>
    <w:multiLevelType w:val="hybridMultilevel"/>
    <w:tmpl w:val="4554F9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3F20BD"/>
    <w:multiLevelType w:val="hybridMultilevel"/>
    <w:tmpl w:val="6FC09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FE5543D"/>
    <w:multiLevelType w:val="hybridMultilevel"/>
    <w:tmpl w:val="FE3613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6"/>
  </w:num>
  <w:num w:numId="2">
    <w:abstractNumId w:val="3"/>
  </w:num>
  <w:num w:numId="3">
    <w:abstractNumId w:val="10"/>
  </w:num>
  <w:num w:numId="4">
    <w:abstractNumId w:val="17"/>
  </w:num>
  <w:num w:numId="5">
    <w:abstractNumId w:val="2"/>
  </w:num>
  <w:num w:numId="6">
    <w:abstractNumId w:val="18"/>
  </w:num>
  <w:num w:numId="7">
    <w:abstractNumId w:val="7"/>
  </w:num>
  <w:num w:numId="8">
    <w:abstractNumId w:val="9"/>
  </w:num>
  <w:num w:numId="9">
    <w:abstractNumId w:val="11"/>
  </w:num>
  <w:num w:numId="10">
    <w:abstractNumId w:val="1"/>
  </w:num>
  <w:num w:numId="11">
    <w:abstractNumId w:val="5"/>
  </w:num>
  <w:num w:numId="12">
    <w:abstractNumId w:val="13"/>
  </w:num>
  <w:num w:numId="13">
    <w:abstractNumId w:val="0"/>
  </w:num>
  <w:num w:numId="14">
    <w:abstractNumId w:val="21"/>
  </w:num>
  <w:num w:numId="15">
    <w:abstractNumId w:val="15"/>
  </w:num>
  <w:num w:numId="16">
    <w:abstractNumId w:val="4"/>
  </w:num>
  <w:num w:numId="17">
    <w:abstractNumId w:val="12"/>
  </w:num>
  <w:num w:numId="18">
    <w:abstractNumId w:val="20"/>
  </w:num>
  <w:num w:numId="19">
    <w:abstractNumId w:val="14"/>
  </w:num>
  <w:num w:numId="20">
    <w:abstractNumId w:val="8"/>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049A"/>
    <w:rsid w:val="000101BF"/>
    <w:rsid w:val="00011A64"/>
    <w:rsid w:val="00012829"/>
    <w:rsid w:val="0001435C"/>
    <w:rsid w:val="0001774D"/>
    <w:rsid w:val="0002310A"/>
    <w:rsid w:val="000238DF"/>
    <w:rsid w:val="000260AE"/>
    <w:rsid w:val="00026B0C"/>
    <w:rsid w:val="000311AD"/>
    <w:rsid w:val="0003144E"/>
    <w:rsid w:val="00032E04"/>
    <w:rsid w:val="00041A02"/>
    <w:rsid w:val="00042285"/>
    <w:rsid w:val="0004700A"/>
    <w:rsid w:val="000555EF"/>
    <w:rsid w:val="00057C41"/>
    <w:rsid w:val="00064A75"/>
    <w:rsid w:val="00065A25"/>
    <w:rsid w:val="00066030"/>
    <w:rsid w:val="00066895"/>
    <w:rsid w:val="000673A2"/>
    <w:rsid w:val="00071B10"/>
    <w:rsid w:val="00075AD8"/>
    <w:rsid w:val="00075ED3"/>
    <w:rsid w:val="00080C0D"/>
    <w:rsid w:val="00085C02"/>
    <w:rsid w:val="00087BC6"/>
    <w:rsid w:val="000A0F25"/>
    <w:rsid w:val="000A410B"/>
    <w:rsid w:val="000A4BCE"/>
    <w:rsid w:val="000A79A6"/>
    <w:rsid w:val="000B035D"/>
    <w:rsid w:val="000C2402"/>
    <w:rsid w:val="000C41C0"/>
    <w:rsid w:val="000E415C"/>
    <w:rsid w:val="000E65BC"/>
    <w:rsid w:val="000E70B4"/>
    <w:rsid w:val="000F7A2E"/>
    <w:rsid w:val="00105567"/>
    <w:rsid w:val="00111643"/>
    <w:rsid w:val="001129FA"/>
    <w:rsid w:val="0011305B"/>
    <w:rsid w:val="00113B26"/>
    <w:rsid w:val="00116280"/>
    <w:rsid w:val="00117061"/>
    <w:rsid w:val="00122B8A"/>
    <w:rsid w:val="001273C4"/>
    <w:rsid w:val="00132C23"/>
    <w:rsid w:val="00137751"/>
    <w:rsid w:val="001425D2"/>
    <w:rsid w:val="0014307A"/>
    <w:rsid w:val="00145A5C"/>
    <w:rsid w:val="0015173B"/>
    <w:rsid w:val="00155A3C"/>
    <w:rsid w:val="00155AAE"/>
    <w:rsid w:val="00172378"/>
    <w:rsid w:val="00172F03"/>
    <w:rsid w:val="00176C95"/>
    <w:rsid w:val="00185B42"/>
    <w:rsid w:val="001862E6"/>
    <w:rsid w:val="0019326F"/>
    <w:rsid w:val="0019636B"/>
    <w:rsid w:val="001A032F"/>
    <w:rsid w:val="001A17B6"/>
    <w:rsid w:val="001B38FF"/>
    <w:rsid w:val="001B3A64"/>
    <w:rsid w:val="001C22C5"/>
    <w:rsid w:val="001C34D3"/>
    <w:rsid w:val="001C76AE"/>
    <w:rsid w:val="001D1252"/>
    <w:rsid w:val="001E27CB"/>
    <w:rsid w:val="001F3C22"/>
    <w:rsid w:val="001F6E82"/>
    <w:rsid w:val="001F7A91"/>
    <w:rsid w:val="00203755"/>
    <w:rsid w:val="00206EDF"/>
    <w:rsid w:val="00206F74"/>
    <w:rsid w:val="0021310D"/>
    <w:rsid w:val="0022069F"/>
    <w:rsid w:val="00226642"/>
    <w:rsid w:val="0024257F"/>
    <w:rsid w:val="00242F5A"/>
    <w:rsid w:val="0024309A"/>
    <w:rsid w:val="00243AA7"/>
    <w:rsid w:val="00247663"/>
    <w:rsid w:val="00255CA6"/>
    <w:rsid w:val="0026551E"/>
    <w:rsid w:val="00265880"/>
    <w:rsid w:val="00273A01"/>
    <w:rsid w:val="00273D65"/>
    <w:rsid w:val="00277BC2"/>
    <w:rsid w:val="00280CE6"/>
    <w:rsid w:val="0029062B"/>
    <w:rsid w:val="00295459"/>
    <w:rsid w:val="00296ECB"/>
    <w:rsid w:val="002A3C76"/>
    <w:rsid w:val="002A5ADD"/>
    <w:rsid w:val="002B2F2B"/>
    <w:rsid w:val="002B6649"/>
    <w:rsid w:val="002C5B56"/>
    <w:rsid w:val="002C692F"/>
    <w:rsid w:val="002D0360"/>
    <w:rsid w:val="002D0E9D"/>
    <w:rsid w:val="002E1008"/>
    <w:rsid w:val="002F0E1E"/>
    <w:rsid w:val="002F5B20"/>
    <w:rsid w:val="002F5CAF"/>
    <w:rsid w:val="0031435A"/>
    <w:rsid w:val="00315671"/>
    <w:rsid w:val="00316F60"/>
    <w:rsid w:val="00317C24"/>
    <w:rsid w:val="00330B35"/>
    <w:rsid w:val="003327F0"/>
    <w:rsid w:val="003340F5"/>
    <w:rsid w:val="00335A8C"/>
    <w:rsid w:val="003433B6"/>
    <w:rsid w:val="00343859"/>
    <w:rsid w:val="00352E33"/>
    <w:rsid w:val="00353EFD"/>
    <w:rsid w:val="003550EE"/>
    <w:rsid w:val="00355976"/>
    <w:rsid w:val="003571AB"/>
    <w:rsid w:val="003619F8"/>
    <w:rsid w:val="00363336"/>
    <w:rsid w:val="00365150"/>
    <w:rsid w:val="003651E6"/>
    <w:rsid w:val="00366F5B"/>
    <w:rsid w:val="003776F0"/>
    <w:rsid w:val="00377851"/>
    <w:rsid w:val="00380EEB"/>
    <w:rsid w:val="00390DED"/>
    <w:rsid w:val="00392196"/>
    <w:rsid w:val="00393035"/>
    <w:rsid w:val="00394E0D"/>
    <w:rsid w:val="003A74EC"/>
    <w:rsid w:val="003C5DD5"/>
    <w:rsid w:val="003D06E7"/>
    <w:rsid w:val="003D0981"/>
    <w:rsid w:val="003D5F5A"/>
    <w:rsid w:val="003E01EF"/>
    <w:rsid w:val="003E3F9B"/>
    <w:rsid w:val="003E5DA1"/>
    <w:rsid w:val="00400D28"/>
    <w:rsid w:val="004033DD"/>
    <w:rsid w:val="00407864"/>
    <w:rsid w:val="00413F19"/>
    <w:rsid w:val="0041620D"/>
    <w:rsid w:val="00424415"/>
    <w:rsid w:val="00426B79"/>
    <w:rsid w:val="00427842"/>
    <w:rsid w:val="00427ABC"/>
    <w:rsid w:val="00434244"/>
    <w:rsid w:val="00435462"/>
    <w:rsid w:val="0044450C"/>
    <w:rsid w:val="00444DEC"/>
    <w:rsid w:val="0044778A"/>
    <w:rsid w:val="0045369F"/>
    <w:rsid w:val="004556C4"/>
    <w:rsid w:val="0046021E"/>
    <w:rsid w:val="00463DFE"/>
    <w:rsid w:val="0046654E"/>
    <w:rsid w:val="004710D7"/>
    <w:rsid w:val="00477CF2"/>
    <w:rsid w:val="00481BB8"/>
    <w:rsid w:val="00482A78"/>
    <w:rsid w:val="00484202"/>
    <w:rsid w:val="0049476D"/>
    <w:rsid w:val="004A1B42"/>
    <w:rsid w:val="004A265C"/>
    <w:rsid w:val="004A66B1"/>
    <w:rsid w:val="004B3BA0"/>
    <w:rsid w:val="004B44B6"/>
    <w:rsid w:val="004B63A5"/>
    <w:rsid w:val="004C57EF"/>
    <w:rsid w:val="004D4E0D"/>
    <w:rsid w:val="004D528E"/>
    <w:rsid w:val="004E0A09"/>
    <w:rsid w:val="005016A6"/>
    <w:rsid w:val="00503028"/>
    <w:rsid w:val="00504926"/>
    <w:rsid w:val="00514037"/>
    <w:rsid w:val="0052584D"/>
    <w:rsid w:val="00533178"/>
    <w:rsid w:val="00537BBF"/>
    <w:rsid w:val="00552654"/>
    <w:rsid w:val="0055602E"/>
    <w:rsid w:val="0056101D"/>
    <w:rsid w:val="00561362"/>
    <w:rsid w:val="00561E8A"/>
    <w:rsid w:val="00563E8B"/>
    <w:rsid w:val="005649CF"/>
    <w:rsid w:val="00570C3F"/>
    <w:rsid w:val="00580097"/>
    <w:rsid w:val="00580F3F"/>
    <w:rsid w:val="00581590"/>
    <w:rsid w:val="00581B45"/>
    <w:rsid w:val="00584250"/>
    <w:rsid w:val="00586E5C"/>
    <w:rsid w:val="00587A7F"/>
    <w:rsid w:val="0059169B"/>
    <w:rsid w:val="005957F7"/>
    <w:rsid w:val="005959AF"/>
    <w:rsid w:val="005A4073"/>
    <w:rsid w:val="005A45DC"/>
    <w:rsid w:val="005A5236"/>
    <w:rsid w:val="005A5FD6"/>
    <w:rsid w:val="005B5571"/>
    <w:rsid w:val="005B7CB6"/>
    <w:rsid w:val="005C233E"/>
    <w:rsid w:val="005D0FA2"/>
    <w:rsid w:val="005D1480"/>
    <w:rsid w:val="005D5E29"/>
    <w:rsid w:val="005F60DD"/>
    <w:rsid w:val="00600A10"/>
    <w:rsid w:val="00601058"/>
    <w:rsid w:val="0060145E"/>
    <w:rsid w:val="006027D2"/>
    <w:rsid w:val="006033D4"/>
    <w:rsid w:val="0061038C"/>
    <w:rsid w:val="00613E99"/>
    <w:rsid w:val="00613FD6"/>
    <w:rsid w:val="00614542"/>
    <w:rsid w:val="006169FC"/>
    <w:rsid w:val="006215C8"/>
    <w:rsid w:val="0062205C"/>
    <w:rsid w:val="0062589A"/>
    <w:rsid w:val="006345A5"/>
    <w:rsid w:val="0064532D"/>
    <w:rsid w:val="006467CF"/>
    <w:rsid w:val="00646C6F"/>
    <w:rsid w:val="00651F44"/>
    <w:rsid w:val="00665234"/>
    <w:rsid w:val="006659B5"/>
    <w:rsid w:val="0067258B"/>
    <w:rsid w:val="006848ED"/>
    <w:rsid w:val="00693BB0"/>
    <w:rsid w:val="006955D7"/>
    <w:rsid w:val="00695C6F"/>
    <w:rsid w:val="0069665A"/>
    <w:rsid w:val="006A2B44"/>
    <w:rsid w:val="006B16FE"/>
    <w:rsid w:val="006B2DEC"/>
    <w:rsid w:val="006B7634"/>
    <w:rsid w:val="006C0A28"/>
    <w:rsid w:val="006C69A3"/>
    <w:rsid w:val="006C742F"/>
    <w:rsid w:val="006D0F84"/>
    <w:rsid w:val="006D6B26"/>
    <w:rsid w:val="006D74DF"/>
    <w:rsid w:val="006D7AAC"/>
    <w:rsid w:val="006E16AB"/>
    <w:rsid w:val="006E18D9"/>
    <w:rsid w:val="006E3127"/>
    <w:rsid w:val="006E3DD7"/>
    <w:rsid w:val="006E6F77"/>
    <w:rsid w:val="006F5DAF"/>
    <w:rsid w:val="006F7EE9"/>
    <w:rsid w:val="00712000"/>
    <w:rsid w:val="00713F81"/>
    <w:rsid w:val="00715CD7"/>
    <w:rsid w:val="007212E8"/>
    <w:rsid w:val="00724FB9"/>
    <w:rsid w:val="00730DF5"/>
    <w:rsid w:val="00733F93"/>
    <w:rsid w:val="007355DC"/>
    <w:rsid w:val="00742AD8"/>
    <w:rsid w:val="007442C8"/>
    <w:rsid w:val="00746719"/>
    <w:rsid w:val="00747059"/>
    <w:rsid w:val="00751225"/>
    <w:rsid w:val="00752710"/>
    <w:rsid w:val="007541F8"/>
    <w:rsid w:val="00764AD8"/>
    <w:rsid w:val="007736AB"/>
    <w:rsid w:val="00777231"/>
    <w:rsid w:val="00780A5D"/>
    <w:rsid w:val="00780D82"/>
    <w:rsid w:val="007836DD"/>
    <w:rsid w:val="00785572"/>
    <w:rsid w:val="0078662C"/>
    <w:rsid w:val="00786666"/>
    <w:rsid w:val="007903D7"/>
    <w:rsid w:val="007A0E2A"/>
    <w:rsid w:val="007A1F05"/>
    <w:rsid w:val="007A2CA1"/>
    <w:rsid w:val="007A69CD"/>
    <w:rsid w:val="007A6C25"/>
    <w:rsid w:val="007B06CF"/>
    <w:rsid w:val="007B1E41"/>
    <w:rsid w:val="007C1516"/>
    <w:rsid w:val="007C41F8"/>
    <w:rsid w:val="007C4CBA"/>
    <w:rsid w:val="007C5245"/>
    <w:rsid w:val="007C7B43"/>
    <w:rsid w:val="007D4F84"/>
    <w:rsid w:val="007D6C38"/>
    <w:rsid w:val="007D7039"/>
    <w:rsid w:val="007E4B6C"/>
    <w:rsid w:val="007E6674"/>
    <w:rsid w:val="007E71F1"/>
    <w:rsid w:val="007E7D78"/>
    <w:rsid w:val="007E7DAF"/>
    <w:rsid w:val="007F1DA9"/>
    <w:rsid w:val="007F2D20"/>
    <w:rsid w:val="007F7167"/>
    <w:rsid w:val="0080498E"/>
    <w:rsid w:val="008104EC"/>
    <w:rsid w:val="00812270"/>
    <w:rsid w:val="008128F0"/>
    <w:rsid w:val="00812F2A"/>
    <w:rsid w:val="00816A27"/>
    <w:rsid w:val="008203B4"/>
    <w:rsid w:val="00823379"/>
    <w:rsid w:val="008374B6"/>
    <w:rsid w:val="008377BC"/>
    <w:rsid w:val="00840816"/>
    <w:rsid w:val="00842D95"/>
    <w:rsid w:val="00850EC6"/>
    <w:rsid w:val="0085193B"/>
    <w:rsid w:val="008562B4"/>
    <w:rsid w:val="00857209"/>
    <w:rsid w:val="00875899"/>
    <w:rsid w:val="00880047"/>
    <w:rsid w:val="00890291"/>
    <w:rsid w:val="008902C6"/>
    <w:rsid w:val="00893BDA"/>
    <w:rsid w:val="008960DA"/>
    <w:rsid w:val="00896E5E"/>
    <w:rsid w:val="008A4615"/>
    <w:rsid w:val="008B0427"/>
    <w:rsid w:val="008C079D"/>
    <w:rsid w:val="008C37AA"/>
    <w:rsid w:val="008C4246"/>
    <w:rsid w:val="008C49D6"/>
    <w:rsid w:val="008D2AB9"/>
    <w:rsid w:val="008D504D"/>
    <w:rsid w:val="008E2B9C"/>
    <w:rsid w:val="008E48E5"/>
    <w:rsid w:val="008F62F7"/>
    <w:rsid w:val="009051EB"/>
    <w:rsid w:val="00910E6B"/>
    <w:rsid w:val="009134AC"/>
    <w:rsid w:val="009247D5"/>
    <w:rsid w:val="00944150"/>
    <w:rsid w:val="00944AD4"/>
    <w:rsid w:val="00945DFF"/>
    <w:rsid w:val="009634D3"/>
    <w:rsid w:val="00966406"/>
    <w:rsid w:val="0096661D"/>
    <w:rsid w:val="00973AB2"/>
    <w:rsid w:val="0097639E"/>
    <w:rsid w:val="00976510"/>
    <w:rsid w:val="00976E0B"/>
    <w:rsid w:val="00983481"/>
    <w:rsid w:val="009844BC"/>
    <w:rsid w:val="009844C6"/>
    <w:rsid w:val="00984FB1"/>
    <w:rsid w:val="0099266B"/>
    <w:rsid w:val="00992FD8"/>
    <w:rsid w:val="009948B2"/>
    <w:rsid w:val="00996955"/>
    <w:rsid w:val="00997032"/>
    <w:rsid w:val="009A3A03"/>
    <w:rsid w:val="009A5A37"/>
    <w:rsid w:val="009B1BD3"/>
    <w:rsid w:val="009B2979"/>
    <w:rsid w:val="009B4584"/>
    <w:rsid w:val="009B71AE"/>
    <w:rsid w:val="009C2B98"/>
    <w:rsid w:val="009D41F8"/>
    <w:rsid w:val="009D7904"/>
    <w:rsid w:val="009D7E46"/>
    <w:rsid w:val="009E2F45"/>
    <w:rsid w:val="009E44DE"/>
    <w:rsid w:val="009E4B46"/>
    <w:rsid w:val="009E7FD9"/>
    <w:rsid w:val="009F0F50"/>
    <w:rsid w:val="009F1F22"/>
    <w:rsid w:val="009F22C8"/>
    <w:rsid w:val="009F2ADB"/>
    <w:rsid w:val="009F4967"/>
    <w:rsid w:val="00A03059"/>
    <w:rsid w:val="00A03D00"/>
    <w:rsid w:val="00A05F91"/>
    <w:rsid w:val="00A070A2"/>
    <w:rsid w:val="00A11854"/>
    <w:rsid w:val="00A21F47"/>
    <w:rsid w:val="00A23894"/>
    <w:rsid w:val="00A24B35"/>
    <w:rsid w:val="00A3160B"/>
    <w:rsid w:val="00A322E7"/>
    <w:rsid w:val="00A35D1D"/>
    <w:rsid w:val="00A36342"/>
    <w:rsid w:val="00A42402"/>
    <w:rsid w:val="00A43F2E"/>
    <w:rsid w:val="00A443F5"/>
    <w:rsid w:val="00A4606D"/>
    <w:rsid w:val="00A514EA"/>
    <w:rsid w:val="00A51518"/>
    <w:rsid w:val="00A64887"/>
    <w:rsid w:val="00A65386"/>
    <w:rsid w:val="00A66340"/>
    <w:rsid w:val="00A663FA"/>
    <w:rsid w:val="00A7160D"/>
    <w:rsid w:val="00A75CE6"/>
    <w:rsid w:val="00A75F4B"/>
    <w:rsid w:val="00A765BA"/>
    <w:rsid w:val="00A7699A"/>
    <w:rsid w:val="00A778A8"/>
    <w:rsid w:val="00A81414"/>
    <w:rsid w:val="00A8696C"/>
    <w:rsid w:val="00A9152A"/>
    <w:rsid w:val="00A91D2E"/>
    <w:rsid w:val="00A9241D"/>
    <w:rsid w:val="00A92E52"/>
    <w:rsid w:val="00A96A47"/>
    <w:rsid w:val="00AA51D0"/>
    <w:rsid w:val="00AB10EE"/>
    <w:rsid w:val="00AB1DFC"/>
    <w:rsid w:val="00AB2FD1"/>
    <w:rsid w:val="00AC5AA9"/>
    <w:rsid w:val="00AD2B61"/>
    <w:rsid w:val="00AE0ED2"/>
    <w:rsid w:val="00AF4AE4"/>
    <w:rsid w:val="00AF4B73"/>
    <w:rsid w:val="00AF5754"/>
    <w:rsid w:val="00AF63EF"/>
    <w:rsid w:val="00AF7682"/>
    <w:rsid w:val="00B00A9E"/>
    <w:rsid w:val="00B021C1"/>
    <w:rsid w:val="00B036E0"/>
    <w:rsid w:val="00B03779"/>
    <w:rsid w:val="00B06D22"/>
    <w:rsid w:val="00B07E50"/>
    <w:rsid w:val="00B10A4B"/>
    <w:rsid w:val="00B12005"/>
    <w:rsid w:val="00B12682"/>
    <w:rsid w:val="00B14C6E"/>
    <w:rsid w:val="00B20E08"/>
    <w:rsid w:val="00B21D79"/>
    <w:rsid w:val="00B23AF2"/>
    <w:rsid w:val="00B24392"/>
    <w:rsid w:val="00B244F2"/>
    <w:rsid w:val="00B253B3"/>
    <w:rsid w:val="00B30918"/>
    <w:rsid w:val="00B32AFC"/>
    <w:rsid w:val="00B342F6"/>
    <w:rsid w:val="00B34359"/>
    <w:rsid w:val="00B36D82"/>
    <w:rsid w:val="00B42C0E"/>
    <w:rsid w:val="00B42C3C"/>
    <w:rsid w:val="00B447BE"/>
    <w:rsid w:val="00B466B4"/>
    <w:rsid w:val="00B46992"/>
    <w:rsid w:val="00B51566"/>
    <w:rsid w:val="00B52604"/>
    <w:rsid w:val="00B52B70"/>
    <w:rsid w:val="00B52DA5"/>
    <w:rsid w:val="00B55585"/>
    <w:rsid w:val="00B62F49"/>
    <w:rsid w:val="00B63AC0"/>
    <w:rsid w:val="00B66B6D"/>
    <w:rsid w:val="00B7488E"/>
    <w:rsid w:val="00B75628"/>
    <w:rsid w:val="00B91C85"/>
    <w:rsid w:val="00BA01EF"/>
    <w:rsid w:val="00BA5AB9"/>
    <w:rsid w:val="00BB7261"/>
    <w:rsid w:val="00BC1722"/>
    <w:rsid w:val="00BC51DC"/>
    <w:rsid w:val="00BD3F5A"/>
    <w:rsid w:val="00BD458B"/>
    <w:rsid w:val="00BD5351"/>
    <w:rsid w:val="00BE2480"/>
    <w:rsid w:val="00BF245A"/>
    <w:rsid w:val="00C0245B"/>
    <w:rsid w:val="00C02B79"/>
    <w:rsid w:val="00C02F0A"/>
    <w:rsid w:val="00C03A76"/>
    <w:rsid w:val="00C0449F"/>
    <w:rsid w:val="00C04E8C"/>
    <w:rsid w:val="00C11483"/>
    <w:rsid w:val="00C122F3"/>
    <w:rsid w:val="00C139E9"/>
    <w:rsid w:val="00C14CE7"/>
    <w:rsid w:val="00C14FF0"/>
    <w:rsid w:val="00C15F07"/>
    <w:rsid w:val="00C21F90"/>
    <w:rsid w:val="00C257BF"/>
    <w:rsid w:val="00C327FA"/>
    <w:rsid w:val="00C33C6C"/>
    <w:rsid w:val="00C344EE"/>
    <w:rsid w:val="00C368B4"/>
    <w:rsid w:val="00C400FB"/>
    <w:rsid w:val="00C43B98"/>
    <w:rsid w:val="00C47110"/>
    <w:rsid w:val="00C47403"/>
    <w:rsid w:val="00C5342D"/>
    <w:rsid w:val="00C54065"/>
    <w:rsid w:val="00C56242"/>
    <w:rsid w:val="00C63F76"/>
    <w:rsid w:val="00C65821"/>
    <w:rsid w:val="00C6712D"/>
    <w:rsid w:val="00C6793D"/>
    <w:rsid w:val="00C76253"/>
    <w:rsid w:val="00C76332"/>
    <w:rsid w:val="00C8328F"/>
    <w:rsid w:val="00C91A95"/>
    <w:rsid w:val="00C92618"/>
    <w:rsid w:val="00CA564B"/>
    <w:rsid w:val="00CA6589"/>
    <w:rsid w:val="00CA7A7C"/>
    <w:rsid w:val="00CB1CC6"/>
    <w:rsid w:val="00CC49D9"/>
    <w:rsid w:val="00CC5555"/>
    <w:rsid w:val="00CD49E0"/>
    <w:rsid w:val="00CD7067"/>
    <w:rsid w:val="00CF4002"/>
    <w:rsid w:val="00CF40B3"/>
    <w:rsid w:val="00CF7C6D"/>
    <w:rsid w:val="00CF7CCA"/>
    <w:rsid w:val="00D03642"/>
    <w:rsid w:val="00D070F9"/>
    <w:rsid w:val="00D15261"/>
    <w:rsid w:val="00D20752"/>
    <w:rsid w:val="00D34DC4"/>
    <w:rsid w:val="00D428A6"/>
    <w:rsid w:val="00D453D4"/>
    <w:rsid w:val="00D46920"/>
    <w:rsid w:val="00D47D28"/>
    <w:rsid w:val="00D50FAC"/>
    <w:rsid w:val="00D54891"/>
    <w:rsid w:val="00D619B2"/>
    <w:rsid w:val="00D621DF"/>
    <w:rsid w:val="00D62202"/>
    <w:rsid w:val="00D700FF"/>
    <w:rsid w:val="00D7698B"/>
    <w:rsid w:val="00DA0532"/>
    <w:rsid w:val="00DA107A"/>
    <w:rsid w:val="00DA68EB"/>
    <w:rsid w:val="00DB08D4"/>
    <w:rsid w:val="00DB2541"/>
    <w:rsid w:val="00DB4E89"/>
    <w:rsid w:val="00DB53FA"/>
    <w:rsid w:val="00DB68DE"/>
    <w:rsid w:val="00DC3FD7"/>
    <w:rsid w:val="00DC5845"/>
    <w:rsid w:val="00DC5974"/>
    <w:rsid w:val="00DD233D"/>
    <w:rsid w:val="00DD3B5A"/>
    <w:rsid w:val="00DD78C2"/>
    <w:rsid w:val="00DF5ED8"/>
    <w:rsid w:val="00DF676F"/>
    <w:rsid w:val="00E04AF4"/>
    <w:rsid w:val="00E07CE2"/>
    <w:rsid w:val="00E07DA9"/>
    <w:rsid w:val="00E10C8E"/>
    <w:rsid w:val="00E15DAC"/>
    <w:rsid w:val="00E25D3E"/>
    <w:rsid w:val="00E26784"/>
    <w:rsid w:val="00E30435"/>
    <w:rsid w:val="00E3099C"/>
    <w:rsid w:val="00E30CF8"/>
    <w:rsid w:val="00E32E2B"/>
    <w:rsid w:val="00E34367"/>
    <w:rsid w:val="00E366CE"/>
    <w:rsid w:val="00E45436"/>
    <w:rsid w:val="00E45628"/>
    <w:rsid w:val="00E5244D"/>
    <w:rsid w:val="00E5512C"/>
    <w:rsid w:val="00E55405"/>
    <w:rsid w:val="00E621FB"/>
    <w:rsid w:val="00E7640B"/>
    <w:rsid w:val="00E77373"/>
    <w:rsid w:val="00E8008D"/>
    <w:rsid w:val="00E8162E"/>
    <w:rsid w:val="00E8436A"/>
    <w:rsid w:val="00E8694A"/>
    <w:rsid w:val="00E95BE2"/>
    <w:rsid w:val="00EA436F"/>
    <w:rsid w:val="00EA6BF9"/>
    <w:rsid w:val="00EB245C"/>
    <w:rsid w:val="00EB71D1"/>
    <w:rsid w:val="00EC3117"/>
    <w:rsid w:val="00EE73AF"/>
    <w:rsid w:val="00F01561"/>
    <w:rsid w:val="00F10424"/>
    <w:rsid w:val="00F12160"/>
    <w:rsid w:val="00F13B8A"/>
    <w:rsid w:val="00F153BA"/>
    <w:rsid w:val="00F254BF"/>
    <w:rsid w:val="00F36D4A"/>
    <w:rsid w:val="00F5568C"/>
    <w:rsid w:val="00F562AE"/>
    <w:rsid w:val="00F62026"/>
    <w:rsid w:val="00F622F1"/>
    <w:rsid w:val="00F628C2"/>
    <w:rsid w:val="00F729EB"/>
    <w:rsid w:val="00F7456A"/>
    <w:rsid w:val="00F81A4B"/>
    <w:rsid w:val="00F84760"/>
    <w:rsid w:val="00F86DE8"/>
    <w:rsid w:val="00F86E91"/>
    <w:rsid w:val="00F87338"/>
    <w:rsid w:val="00F87B42"/>
    <w:rsid w:val="00FB0137"/>
    <w:rsid w:val="00FB722E"/>
    <w:rsid w:val="00FD6835"/>
    <w:rsid w:val="00FE2B2F"/>
    <w:rsid w:val="00FE4693"/>
    <w:rsid w:val="00FE5503"/>
    <w:rsid w:val="00FE67A7"/>
    <w:rsid w:val="00FF0AAA"/>
    <w:rsid w:val="00FF3743"/>
    <w:rsid w:val="00FF7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4990E0-4017-4286-96F2-7E4783F0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7C524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7C52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A96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C524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C524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28502309">
      <w:bodyDiv w:val="1"/>
      <w:marLeft w:val="0"/>
      <w:marRight w:val="0"/>
      <w:marTop w:val="0"/>
      <w:marBottom w:val="0"/>
      <w:divBdr>
        <w:top w:val="none" w:sz="0" w:space="0" w:color="auto"/>
        <w:left w:val="none" w:sz="0" w:space="0" w:color="auto"/>
        <w:bottom w:val="none" w:sz="0" w:space="0" w:color="auto"/>
        <w:right w:val="none" w:sz="0" w:space="0" w:color="auto"/>
      </w:divBdr>
    </w:div>
    <w:div w:id="45784559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70833684">
      <w:bodyDiv w:val="1"/>
      <w:marLeft w:val="0"/>
      <w:marRight w:val="0"/>
      <w:marTop w:val="0"/>
      <w:marBottom w:val="0"/>
      <w:divBdr>
        <w:top w:val="none" w:sz="0" w:space="0" w:color="auto"/>
        <w:left w:val="none" w:sz="0" w:space="0" w:color="auto"/>
        <w:bottom w:val="none" w:sz="0" w:space="0" w:color="auto"/>
        <w:right w:val="none" w:sz="0" w:space="0" w:color="auto"/>
      </w:divBdr>
    </w:div>
    <w:div w:id="685669615">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42626744">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65228159">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47430463">
      <w:bodyDiv w:val="1"/>
      <w:marLeft w:val="0"/>
      <w:marRight w:val="0"/>
      <w:marTop w:val="0"/>
      <w:marBottom w:val="0"/>
      <w:divBdr>
        <w:top w:val="none" w:sz="0" w:space="0" w:color="auto"/>
        <w:left w:val="none" w:sz="0" w:space="0" w:color="auto"/>
        <w:bottom w:val="none" w:sz="0" w:space="0" w:color="auto"/>
        <w:right w:val="none" w:sz="0" w:space="0" w:color="auto"/>
      </w:divBdr>
    </w:div>
    <w:div w:id="1153451067">
      <w:bodyDiv w:val="1"/>
      <w:marLeft w:val="0"/>
      <w:marRight w:val="0"/>
      <w:marTop w:val="0"/>
      <w:marBottom w:val="0"/>
      <w:divBdr>
        <w:top w:val="none" w:sz="0" w:space="0" w:color="auto"/>
        <w:left w:val="none" w:sz="0" w:space="0" w:color="auto"/>
        <w:bottom w:val="none" w:sz="0" w:space="0" w:color="auto"/>
        <w:right w:val="none" w:sz="0" w:space="0" w:color="auto"/>
      </w:divBdr>
    </w:div>
    <w:div w:id="1200168798">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29890156">
      <w:bodyDiv w:val="1"/>
      <w:marLeft w:val="0"/>
      <w:marRight w:val="0"/>
      <w:marTop w:val="0"/>
      <w:marBottom w:val="0"/>
      <w:divBdr>
        <w:top w:val="none" w:sz="0" w:space="0" w:color="auto"/>
        <w:left w:val="none" w:sz="0" w:space="0" w:color="auto"/>
        <w:bottom w:val="none" w:sz="0" w:space="0" w:color="auto"/>
        <w:right w:val="none" w:sz="0" w:space="0" w:color="auto"/>
      </w:divBdr>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09509085">
      <w:bodyDiv w:val="1"/>
      <w:marLeft w:val="0"/>
      <w:marRight w:val="0"/>
      <w:marTop w:val="0"/>
      <w:marBottom w:val="0"/>
      <w:divBdr>
        <w:top w:val="none" w:sz="0" w:space="0" w:color="auto"/>
        <w:left w:val="none" w:sz="0" w:space="0" w:color="auto"/>
        <w:bottom w:val="none" w:sz="0" w:space="0" w:color="auto"/>
        <w:right w:val="none" w:sz="0" w:space="0" w:color="auto"/>
      </w:divBdr>
    </w:div>
    <w:div w:id="1611817166">
      <w:bodyDiv w:val="1"/>
      <w:marLeft w:val="0"/>
      <w:marRight w:val="0"/>
      <w:marTop w:val="0"/>
      <w:marBottom w:val="0"/>
      <w:divBdr>
        <w:top w:val="none" w:sz="0" w:space="0" w:color="auto"/>
        <w:left w:val="none" w:sz="0" w:space="0" w:color="auto"/>
        <w:bottom w:val="none" w:sz="0" w:space="0" w:color="auto"/>
        <w:right w:val="none" w:sz="0" w:space="0" w:color="auto"/>
      </w:divBdr>
      <w:divsChild>
        <w:div w:id="1293902053">
          <w:marLeft w:val="0"/>
          <w:marRight w:val="0"/>
          <w:marTop w:val="0"/>
          <w:marBottom w:val="0"/>
          <w:divBdr>
            <w:top w:val="none" w:sz="0" w:space="0" w:color="auto"/>
            <w:left w:val="none" w:sz="0" w:space="0" w:color="auto"/>
            <w:bottom w:val="none" w:sz="0" w:space="0" w:color="auto"/>
            <w:right w:val="none" w:sz="0" w:space="0" w:color="auto"/>
          </w:divBdr>
        </w:div>
      </w:divsChild>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776710824">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806120559">
      <w:bodyDiv w:val="1"/>
      <w:marLeft w:val="0"/>
      <w:marRight w:val="0"/>
      <w:marTop w:val="0"/>
      <w:marBottom w:val="0"/>
      <w:divBdr>
        <w:top w:val="none" w:sz="0" w:space="0" w:color="auto"/>
        <w:left w:val="none" w:sz="0" w:space="0" w:color="auto"/>
        <w:bottom w:val="none" w:sz="0" w:space="0" w:color="auto"/>
        <w:right w:val="none" w:sz="0" w:space="0" w:color="auto"/>
      </w:divBdr>
    </w:div>
    <w:div w:id="20046217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CD760-BF0A-4C5F-B715-E7A53054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5732</Words>
  <Characters>31531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2018-11-16T00:34:00Z</cp:lastPrinted>
  <dcterms:created xsi:type="dcterms:W3CDTF">2019-02-12T01:13:00Z</dcterms:created>
  <dcterms:modified xsi:type="dcterms:W3CDTF">2019-03-20T20:22:00Z</dcterms:modified>
</cp:coreProperties>
</file>